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7B93" w14:textId="531E38EA" w:rsidR="00824E79" w:rsidRDefault="00824E79" w:rsidP="00824E79">
      <w:pPr>
        <w:widowControl w:val="0"/>
        <w:tabs>
          <w:tab w:val="left" w:pos="8593"/>
        </w:tabs>
        <w:spacing w:after="360"/>
        <w:ind w:right="196"/>
        <w:contextualSpacing/>
        <w:rPr>
          <w:rFonts w:ascii="Arial" w:eastAsia="Arial" w:hAnsi="Arial" w:cs="Calibri Light"/>
          <w:bCs/>
          <w:color w:val="008080"/>
          <w:sz w:val="48"/>
          <w:szCs w:val="48"/>
          <w:lang w:val="en-US"/>
        </w:rPr>
      </w:pPr>
      <w:r w:rsidRPr="00824E79">
        <w:rPr>
          <w:rFonts w:ascii="Arial" w:eastAsia="Arial" w:hAnsi="Arial" w:cs="Calibri Light"/>
          <w:bCs/>
          <w:color w:val="008080"/>
          <w:sz w:val="48"/>
          <w:szCs w:val="48"/>
          <w:lang w:val="en-US"/>
        </w:rPr>
        <w:t>Terrorism and Information Warfare</w:t>
      </w:r>
    </w:p>
    <w:p w14:paraId="5DF2009C" w14:textId="77777777" w:rsidR="00824E79" w:rsidRPr="00824E79" w:rsidRDefault="00824E79" w:rsidP="00824E79">
      <w:pPr>
        <w:widowControl w:val="0"/>
        <w:tabs>
          <w:tab w:val="left" w:pos="8593"/>
        </w:tabs>
        <w:spacing w:after="360"/>
        <w:ind w:right="196"/>
        <w:contextualSpacing/>
        <w:rPr>
          <w:rFonts w:ascii="Arial" w:eastAsia="Arial" w:hAnsi="Arial" w:cs="Calibri Light"/>
          <w:bCs/>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824E79" w:rsidRPr="00824E79" w14:paraId="12B5D823" w14:textId="77777777" w:rsidTr="00824E79">
        <w:trPr>
          <w:trHeight w:val="397"/>
        </w:trPr>
        <w:tc>
          <w:tcPr>
            <w:tcW w:w="5000" w:type="pct"/>
          </w:tcPr>
          <w:p w14:paraId="1CE184F1" w14:textId="77777777" w:rsidR="00824E79" w:rsidRPr="00824E79" w:rsidRDefault="00824E79" w:rsidP="00824E79">
            <w:pPr>
              <w:spacing w:before="80" w:after="80"/>
              <w:contextualSpacing/>
              <w:rPr>
                <w:lang w:val="ru-RU"/>
              </w:rPr>
            </w:pPr>
            <w:r w:rsidRPr="00824E79">
              <w:rPr>
                <w:b/>
              </w:rPr>
              <w:t>Credit level:</w:t>
            </w:r>
            <w:r w:rsidRPr="00824E79">
              <w:rPr>
                <w:i/>
                <w:iCs/>
                <w:spacing w:val="-9"/>
              </w:rPr>
              <w:t xml:space="preserve"> </w:t>
            </w:r>
            <w:r w:rsidRPr="00824E79">
              <w:rPr>
                <w:spacing w:val="-9"/>
              </w:rPr>
              <w:t>Level 5</w:t>
            </w:r>
          </w:p>
        </w:tc>
      </w:tr>
      <w:tr w:rsidR="00824E79" w:rsidRPr="00824E79" w14:paraId="345EE47D" w14:textId="77777777" w:rsidTr="00824E79">
        <w:trPr>
          <w:trHeight w:val="397"/>
        </w:trPr>
        <w:tc>
          <w:tcPr>
            <w:tcW w:w="5000" w:type="pct"/>
          </w:tcPr>
          <w:p w14:paraId="65316E3C" w14:textId="77777777" w:rsidR="00824E79" w:rsidRPr="00824E79" w:rsidRDefault="00824E79" w:rsidP="00824E79">
            <w:pPr>
              <w:spacing w:before="80" w:after="80"/>
              <w:contextualSpacing/>
              <w:rPr>
                <w:b/>
                <w:lang w:val="ru-RU"/>
              </w:rPr>
            </w:pPr>
            <w:r w:rsidRPr="00824E79">
              <w:rPr>
                <w:b/>
              </w:rPr>
              <w:t>Length:</w:t>
            </w:r>
            <w:r w:rsidRPr="00824E79">
              <w:t xml:space="preserve"> </w:t>
            </w:r>
            <w:r w:rsidRPr="00824E79">
              <w:rPr>
                <w:bCs/>
              </w:rPr>
              <w:t>semester 2</w:t>
            </w:r>
          </w:p>
        </w:tc>
      </w:tr>
      <w:tr w:rsidR="00824E79" w:rsidRPr="00824E79" w14:paraId="39F75D64" w14:textId="77777777" w:rsidTr="00824E79">
        <w:trPr>
          <w:trHeight w:val="397"/>
        </w:trPr>
        <w:tc>
          <w:tcPr>
            <w:tcW w:w="5000" w:type="pct"/>
          </w:tcPr>
          <w:p w14:paraId="7BF325A0" w14:textId="790DB18A" w:rsidR="00824E79" w:rsidRPr="00824E79" w:rsidRDefault="00824E79" w:rsidP="00824E79">
            <w:pPr>
              <w:spacing w:before="80" w:after="80"/>
              <w:contextualSpacing/>
              <w:rPr>
                <w:bCs/>
                <w:lang w:val="ru-RU"/>
              </w:rPr>
            </w:pPr>
            <w:r w:rsidRPr="00824E79">
              <w:rPr>
                <w:b/>
              </w:rPr>
              <w:t xml:space="preserve">ECTS credit value: </w:t>
            </w:r>
            <w:r>
              <w:rPr>
                <w:bCs/>
              </w:rPr>
              <w:t>8</w:t>
            </w:r>
          </w:p>
        </w:tc>
      </w:tr>
      <w:tr w:rsidR="00824E79" w:rsidRPr="00824E79" w14:paraId="1BDAC609" w14:textId="77777777" w:rsidTr="00824E79">
        <w:trPr>
          <w:trHeight w:val="397"/>
        </w:trPr>
        <w:tc>
          <w:tcPr>
            <w:tcW w:w="5000" w:type="pct"/>
          </w:tcPr>
          <w:p w14:paraId="61C69F51" w14:textId="77777777" w:rsidR="00824E79" w:rsidRPr="00824E79" w:rsidRDefault="00824E79" w:rsidP="00824E79">
            <w:pPr>
              <w:spacing w:before="192" w:after="80"/>
              <w:contextualSpacing/>
            </w:pPr>
            <w:r w:rsidRPr="00824E79">
              <w:rPr>
                <w:b/>
              </w:rPr>
              <w:t xml:space="preserve">College and School: </w:t>
            </w:r>
            <w:r w:rsidRPr="00824E79">
              <w:rPr>
                <w:bCs/>
              </w:rPr>
              <w:t xml:space="preserve">Lazarski University in Warsaw, Faculty of Economics and Management </w:t>
            </w:r>
          </w:p>
        </w:tc>
      </w:tr>
      <w:tr w:rsidR="00824E79" w:rsidRPr="00824E79" w14:paraId="26718FD9" w14:textId="77777777" w:rsidTr="00824E79">
        <w:trPr>
          <w:trHeight w:val="397"/>
        </w:trPr>
        <w:tc>
          <w:tcPr>
            <w:tcW w:w="5000" w:type="pct"/>
          </w:tcPr>
          <w:p w14:paraId="32EC186B" w14:textId="77777777" w:rsidR="00824E79" w:rsidRPr="00824E79" w:rsidRDefault="00824E79" w:rsidP="00824E79">
            <w:pPr>
              <w:spacing w:before="192" w:after="80"/>
              <w:contextualSpacing/>
              <w:rPr>
                <w:b/>
                <w:lang w:val="en-AU"/>
              </w:rPr>
            </w:pPr>
            <w:r w:rsidRPr="00824E79">
              <w:rPr>
                <w:b/>
              </w:rPr>
              <w:t xml:space="preserve">Module Leader: </w:t>
            </w:r>
            <w:r w:rsidRPr="00824E79">
              <w:rPr>
                <w:bCs/>
              </w:rPr>
              <w:t>Dr.</w:t>
            </w:r>
            <w:r w:rsidRPr="00824E79">
              <w:rPr>
                <w:b/>
              </w:rPr>
              <w:t xml:space="preserve"> </w:t>
            </w:r>
            <w:r w:rsidRPr="00824E79">
              <w:rPr>
                <w:bCs/>
              </w:rPr>
              <w:t>Michal Kuz</w:t>
            </w:r>
          </w:p>
        </w:tc>
      </w:tr>
      <w:tr w:rsidR="00824E79" w:rsidRPr="00824E79" w14:paraId="6A2769A0" w14:textId="77777777" w:rsidTr="00824E79">
        <w:trPr>
          <w:trHeight w:val="397"/>
        </w:trPr>
        <w:tc>
          <w:tcPr>
            <w:tcW w:w="5000" w:type="pct"/>
          </w:tcPr>
          <w:p w14:paraId="6DA83C8A" w14:textId="77777777" w:rsidR="00824E79" w:rsidRPr="00824E79" w:rsidRDefault="00824E79" w:rsidP="00824E79">
            <w:pPr>
              <w:spacing w:before="80" w:after="80"/>
              <w:contextualSpacing/>
              <w:rPr>
                <w:b/>
                <w:bCs/>
                <w:lang w:val="en-AU"/>
              </w:rPr>
            </w:pPr>
            <w:r w:rsidRPr="00824E79">
              <w:rPr>
                <w:b/>
                <w:bCs/>
              </w:rPr>
              <w:t xml:space="preserve">Host Course: </w:t>
            </w:r>
            <w:r w:rsidRPr="00824E79">
              <w:rPr>
                <w:szCs w:val="21"/>
              </w:rPr>
              <w:t>BA International Relations</w:t>
            </w:r>
          </w:p>
        </w:tc>
      </w:tr>
      <w:tr w:rsidR="00824E79" w:rsidRPr="00824E79" w14:paraId="6C6C2D9F" w14:textId="77777777" w:rsidTr="00824E79">
        <w:trPr>
          <w:trHeight w:val="397"/>
        </w:trPr>
        <w:tc>
          <w:tcPr>
            <w:tcW w:w="5000" w:type="pct"/>
          </w:tcPr>
          <w:p w14:paraId="3DEDF210" w14:textId="77777777" w:rsidR="00824E79" w:rsidRPr="00824E79" w:rsidRDefault="00824E79" w:rsidP="00824E79">
            <w:pPr>
              <w:spacing w:before="80" w:after="80"/>
              <w:contextualSpacing/>
              <w:rPr>
                <w:b/>
              </w:rPr>
            </w:pPr>
            <w:r w:rsidRPr="00824E79">
              <w:rPr>
                <w:b/>
              </w:rPr>
              <w:t>Pre-requisites:</w:t>
            </w:r>
            <w:r w:rsidRPr="00824E79">
              <w:rPr>
                <w:i/>
                <w:bdr w:val="none" w:sz="0" w:space="0" w:color="auto" w:frame="1"/>
              </w:rPr>
              <w:t xml:space="preserve"> </w:t>
            </w:r>
            <w:r w:rsidRPr="00824E79">
              <w:rPr>
                <w:shd w:val="clear" w:color="auto" w:fill="FFFFFF"/>
              </w:rPr>
              <w:t>N/A</w:t>
            </w:r>
          </w:p>
        </w:tc>
      </w:tr>
      <w:tr w:rsidR="00824E79" w:rsidRPr="00824E79" w14:paraId="7CAE7846" w14:textId="77777777" w:rsidTr="00824E79">
        <w:trPr>
          <w:trHeight w:val="397"/>
        </w:trPr>
        <w:tc>
          <w:tcPr>
            <w:tcW w:w="5000" w:type="pct"/>
          </w:tcPr>
          <w:p w14:paraId="0D1F167D" w14:textId="77777777" w:rsidR="00824E79" w:rsidRPr="00824E79" w:rsidRDefault="00824E79" w:rsidP="00824E79">
            <w:pPr>
              <w:spacing w:before="80" w:after="80"/>
              <w:contextualSpacing/>
              <w:rPr>
                <w:b/>
              </w:rPr>
            </w:pPr>
            <w:r w:rsidRPr="00824E79">
              <w:rPr>
                <w:b/>
              </w:rPr>
              <w:t>Co-requisites:</w:t>
            </w:r>
            <w:r w:rsidRPr="00824E79">
              <w:rPr>
                <w:b/>
                <w:bCs/>
                <w:i/>
                <w:iCs/>
                <w:shd w:val="clear" w:color="auto" w:fill="FFFFFF"/>
              </w:rPr>
              <w:t xml:space="preserve"> </w:t>
            </w:r>
            <w:r w:rsidRPr="00824E79">
              <w:rPr>
                <w:shd w:val="clear" w:color="auto" w:fill="FFFFFF"/>
              </w:rPr>
              <w:t>N/A</w:t>
            </w:r>
          </w:p>
        </w:tc>
      </w:tr>
      <w:tr w:rsidR="00824E79" w:rsidRPr="00824E79" w14:paraId="5DEA691C" w14:textId="77777777" w:rsidTr="00824E79">
        <w:trPr>
          <w:trHeight w:val="397"/>
        </w:trPr>
        <w:tc>
          <w:tcPr>
            <w:tcW w:w="5000" w:type="pct"/>
          </w:tcPr>
          <w:p w14:paraId="630F52DA" w14:textId="77777777" w:rsidR="00824E79" w:rsidRPr="00824E79" w:rsidRDefault="00824E79" w:rsidP="00824E79">
            <w:pPr>
              <w:spacing w:before="80" w:after="80"/>
              <w:contextualSpacing/>
              <w:rPr>
                <w:b/>
              </w:rPr>
            </w:pPr>
            <w:r w:rsidRPr="00824E79">
              <w:rPr>
                <w:b/>
              </w:rPr>
              <w:t>Special features:</w:t>
            </w:r>
            <w:r w:rsidRPr="00824E79">
              <w:rPr>
                <w:i/>
                <w:bdr w:val="none" w:sz="0" w:space="0" w:color="auto" w:frame="1"/>
              </w:rPr>
              <w:t xml:space="preserve"> </w:t>
            </w:r>
            <w:r w:rsidRPr="00824E79">
              <w:rPr>
                <w:shd w:val="clear" w:color="auto" w:fill="FFFFFF"/>
              </w:rPr>
              <w:t>N/A</w:t>
            </w:r>
          </w:p>
        </w:tc>
      </w:tr>
      <w:tr w:rsidR="00824E79" w:rsidRPr="00824E79" w14:paraId="1B9531E5" w14:textId="77777777" w:rsidTr="00824E79">
        <w:trPr>
          <w:trHeight w:val="397"/>
        </w:trPr>
        <w:tc>
          <w:tcPr>
            <w:tcW w:w="5000" w:type="pct"/>
          </w:tcPr>
          <w:p w14:paraId="04CF30F1" w14:textId="77777777" w:rsidR="00824E79" w:rsidRPr="00824E79" w:rsidRDefault="00824E79" w:rsidP="00824E79">
            <w:pPr>
              <w:spacing w:before="80" w:after="80"/>
              <w:contextualSpacing/>
              <w:rPr>
                <w:b/>
              </w:rPr>
            </w:pPr>
            <w:r w:rsidRPr="00824E79">
              <w:rPr>
                <w:b/>
              </w:rPr>
              <w:t>Access restrictions:</w:t>
            </w:r>
            <w:r w:rsidRPr="00824E79">
              <w:rPr>
                <w:i/>
                <w:bdr w:val="none" w:sz="0" w:space="0" w:color="auto" w:frame="1"/>
              </w:rPr>
              <w:t xml:space="preserve"> </w:t>
            </w:r>
            <w:r w:rsidRPr="00824E79">
              <w:rPr>
                <w:shd w:val="clear" w:color="auto" w:fill="FFFFFF"/>
              </w:rPr>
              <w:t>N/A</w:t>
            </w:r>
          </w:p>
        </w:tc>
      </w:tr>
      <w:tr w:rsidR="00824E79" w:rsidRPr="00824E79" w14:paraId="5B5B8162" w14:textId="77777777" w:rsidTr="00824E79">
        <w:trPr>
          <w:trHeight w:val="397"/>
        </w:trPr>
        <w:tc>
          <w:tcPr>
            <w:tcW w:w="5000" w:type="pct"/>
          </w:tcPr>
          <w:p w14:paraId="43CE45E0" w14:textId="77777777" w:rsidR="00824E79" w:rsidRPr="00824E79" w:rsidRDefault="00824E79" w:rsidP="00824E79">
            <w:pPr>
              <w:contextualSpacing/>
              <w:jc w:val="both"/>
            </w:pPr>
            <w:r w:rsidRPr="00824E79">
              <w:rPr>
                <w:b/>
                <w:bCs/>
              </w:rPr>
              <w:t xml:space="preserve">Summary of module content: </w:t>
            </w:r>
            <w:r w:rsidRPr="00824E79">
              <w:rPr>
                <w:shd w:val="clear" w:color="auto" w:fill="FFFFFF"/>
              </w:rPr>
              <w:t xml:space="preserve">The </w:t>
            </w:r>
            <w:r w:rsidRPr="00824E79">
              <w:t>module</w:t>
            </w:r>
            <w:r w:rsidRPr="00824E79">
              <w:rPr>
                <w:shd w:val="clear" w:color="auto" w:fill="FFFFFF"/>
              </w:rPr>
              <w:t xml:space="preserve"> critically examines competing theories of terrorism, including the debate over terrorism as a constructed or objective threat. Students will analyze perspectives that view terrorism as a tool of asymmetric warfare, a response to state violence, and a product of ideological narratives. The </w:t>
            </w:r>
            <w:r w:rsidRPr="00824E79">
              <w:t>module</w:t>
            </w:r>
            <w:r w:rsidRPr="00824E79">
              <w:rPr>
                <w:shd w:val="clear" w:color="auto" w:fill="FFFFFF"/>
              </w:rPr>
              <w:t xml:space="preserve"> introduces students to key theoretical and practical aspects of terrorism and </w:t>
            </w:r>
            <w:proofErr w:type="gramStart"/>
            <w:r w:rsidRPr="00824E79">
              <w:rPr>
                <w:shd w:val="clear" w:color="auto" w:fill="FFFFFF"/>
              </w:rPr>
              <w:t>counter-terrorism</w:t>
            </w:r>
            <w:proofErr w:type="gramEnd"/>
            <w:r w:rsidRPr="00824E79">
              <w:rPr>
                <w:shd w:val="clear" w:color="auto" w:fill="FFFFFF"/>
              </w:rPr>
              <w:t>. It explores contemporary terrorist activities and anti-terrorist measures while also examining the role of information warfare as a tool in modern conflict. The module focuses on real-world applications and case studies, ensuring students gain a clear understanding of the evolving nature of terrorism in the digital era. i.e. the use of media as a tool for substate violence as well interstate conflict. The analysis will be conducted at the backdrop of evolving rules of international law regarding the phenomenon of terrorism and disinformation. A special emphasis will be placed on different types of responses to terrorism and disinformation in Poland and other countries.</w:t>
            </w:r>
          </w:p>
        </w:tc>
      </w:tr>
    </w:tbl>
    <w:p w14:paraId="607F72BA" w14:textId="77777777" w:rsidR="00824E79" w:rsidRPr="00824E79" w:rsidRDefault="00824E79" w:rsidP="00824E79">
      <w:pPr>
        <w:widowControl w:val="0"/>
        <w:spacing w:before="240" w:after="240"/>
        <w:outlineLvl w:val="0"/>
        <w:rPr>
          <w:rFonts w:ascii="Arial" w:eastAsia="Arial" w:hAnsi="Arial" w:cs="Arial"/>
          <w:b/>
          <w:bCs/>
          <w:sz w:val="32"/>
          <w:szCs w:val="36"/>
          <w:lang w:val="en-US"/>
        </w:rPr>
      </w:pPr>
    </w:p>
    <w:p w14:paraId="5F206A7E" w14:textId="77777777" w:rsidR="00824E79" w:rsidRDefault="00824E79">
      <w:pPr>
        <w:rPr>
          <w:rFonts w:ascii="Arial" w:eastAsia="Arial" w:hAnsi="Arial" w:cs="Arial"/>
          <w:b/>
          <w:bCs/>
          <w:sz w:val="32"/>
          <w:szCs w:val="36"/>
          <w:lang w:val="en-US"/>
        </w:rPr>
      </w:pPr>
      <w:r>
        <w:rPr>
          <w:rFonts w:ascii="Arial" w:eastAsia="Arial" w:hAnsi="Arial" w:cs="Arial"/>
          <w:b/>
          <w:bCs/>
          <w:sz w:val="32"/>
          <w:szCs w:val="36"/>
          <w:lang w:val="en-US"/>
        </w:rPr>
        <w:br w:type="page"/>
      </w:r>
    </w:p>
    <w:p w14:paraId="14613984" w14:textId="4828C528" w:rsidR="00824E79" w:rsidRPr="00824E79" w:rsidRDefault="00824E79" w:rsidP="00824E79">
      <w:pPr>
        <w:widowControl w:val="0"/>
        <w:spacing w:before="240" w:after="240"/>
        <w:outlineLvl w:val="0"/>
        <w:rPr>
          <w:rFonts w:ascii="Arial" w:eastAsia="Arial" w:hAnsi="Arial" w:cs="Arial"/>
          <w:b/>
          <w:bCs/>
          <w:color w:val="000000"/>
          <w:sz w:val="32"/>
          <w:szCs w:val="32"/>
          <w:lang w:val="en-US"/>
        </w:rPr>
      </w:pPr>
      <w:r w:rsidRPr="00824E79">
        <w:rPr>
          <w:rFonts w:ascii="Arial" w:eastAsia="Arial" w:hAnsi="Arial" w:cs="Arial"/>
          <w:b/>
          <w:bCs/>
          <w:sz w:val="32"/>
          <w:szCs w:val="36"/>
          <w:lang w:val="en-US"/>
        </w:rPr>
        <w:lastRenderedPageBreak/>
        <w:t>Assessment Methods</w:t>
      </w:r>
    </w:p>
    <w:tbl>
      <w:tblPr>
        <w:tblStyle w:val="GridTable1Light1"/>
        <w:tblW w:w="8760" w:type="dxa"/>
        <w:tblLayout w:type="fixed"/>
        <w:tblCellMar>
          <w:top w:w="28" w:type="dxa"/>
          <w:left w:w="85" w:type="dxa"/>
          <w:bottom w:w="28" w:type="dxa"/>
          <w:right w:w="85" w:type="dxa"/>
        </w:tblCellMar>
        <w:tblLook w:val="06A0" w:firstRow="1" w:lastRow="0" w:firstColumn="1" w:lastColumn="0" w:noHBand="1" w:noVBand="1"/>
      </w:tblPr>
      <w:tblGrid>
        <w:gridCol w:w="987"/>
        <w:gridCol w:w="1819"/>
        <w:gridCol w:w="1819"/>
        <w:gridCol w:w="1654"/>
        <w:gridCol w:w="2481"/>
      </w:tblGrid>
      <w:tr w:rsidR="00824E79" w:rsidRPr="00824E79" w14:paraId="7C8B3B23" w14:textId="77777777" w:rsidTr="00FE71E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87" w:type="dxa"/>
          </w:tcPr>
          <w:p w14:paraId="70E83EAA" w14:textId="77777777" w:rsidR="00824E79" w:rsidRPr="00824E79" w:rsidRDefault="00824E79" w:rsidP="00824E79">
            <w:pPr>
              <w:spacing w:after="80"/>
              <w:contextualSpacing/>
              <w:rPr>
                <w:sz w:val="23"/>
                <w:szCs w:val="23"/>
              </w:rPr>
            </w:pPr>
            <w:r w:rsidRPr="00824E79">
              <w:rPr>
                <w:sz w:val="23"/>
                <w:szCs w:val="23"/>
              </w:rPr>
              <w:t>Rank</w:t>
            </w:r>
          </w:p>
        </w:tc>
        <w:tc>
          <w:tcPr>
            <w:tcW w:w="1819" w:type="dxa"/>
          </w:tcPr>
          <w:p w14:paraId="18B8E510" w14:textId="77777777" w:rsidR="00824E79" w:rsidRPr="00824E79" w:rsidRDefault="00824E79" w:rsidP="00824E79">
            <w:pPr>
              <w:spacing w:after="80"/>
              <w:contextualSpacing/>
              <w:cnfStyle w:val="100000000000" w:firstRow="1" w:lastRow="0" w:firstColumn="0" w:lastColumn="0" w:oddVBand="0" w:evenVBand="0" w:oddHBand="0" w:evenHBand="0" w:firstRowFirstColumn="0" w:firstRowLastColumn="0" w:lastRowFirstColumn="0" w:lastRowLastColumn="0"/>
              <w:rPr>
                <w:sz w:val="23"/>
                <w:szCs w:val="23"/>
              </w:rPr>
            </w:pPr>
            <w:r w:rsidRPr="00824E79">
              <w:rPr>
                <w:sz w:val="23"/>
                <w:szCs w:val="23"/>
              </w:rPr>
              <w:t>Assessment type</w:t>
            </w:r>
          </w:p>
        </w:tc>
        <w:tc>
          <w:tcPr>
            <w:tcW w:w="1819" w:type="dxa"/>
          </w:tcPr>
          <w:p w14:paraId="08386079" w14:textId="77777777" w:rsidR="00824E79" w:rsidRPr="00824E79" w:rsidRDefault="00824E79" w:rsidP="00824E79">
            <w:pPr>
              <w:spacing w:after="80"/>
              <w:contextualSpacing/>
              <w:cnfStyle w:val="100000000000" w:firstRow="1" w:lastRow="0" w:firstColumn="0" w:lastColumn="0" w:oddVBand="0" w:evenVBand="0" w:oddHBand="0" w:evenHBand="0" w:firstRowFirstColumn="0" w:firstRowLastColumn="0" w:lastRowFirstColumn="0" w:lastRowLastColumn="0"/>
              <w:rPr>
                <w:sz w:val="23"/>
                <w:szCs w:val="23"/>
              </w:rPr>
            </w:pPr>
            <w:r w:rsidRPr="00824E79">
              <w:rPr>
                <w:sz w:val="23"/>
                <w:szCs w:val="23"/>
              </w:rPr>
              <w:t>Assessment name</w:t>
            </w:r>
          </w:p>
        </w:tc>
        <w:tc>
          <w:tcPr>
            <w:tcW w:w="1654" w:type="dxa"/>
          </w:tcPr>
          <w:p w14:paraId="75D9A445" w14:textId="77777777" w:rsidR="00824E79" w:rsidRPr="00824E79" w:rsidRDefault="00824E79" w:rsidP="00824E79">
            <w:pPr>
              <w:spacing w:after="80"/>
              <w:contextualSpacing/>
              <w:cnfStyle w:val="100000000000" w:firstRow="1" w:lastRow="0" w:firstColumn="0" w:lastColumn="0" w:oddVBand="0" w:evenVBand="0" w:oddHBand="0" w:evenHBand="0" w:firstRowFirstColumn="0" w:firstRowLastColumn="0" w:lastRowFirstColumn="0" w:lastRowLastColumn="0"/>
              <w:rPr>
                <w:sz w:val="23"/>
                <w:szCs w:val="23"/>
              </w:rPr>
            </w:pPr>
            <w:r w:rsidRPr="00824E79">
              <w:rPr>
                <w:sz w:val="23"/>
                <w:szCs w:val="23"/>
              </w:rPr>
              <w:t>Weighting</w:t>
            </w:r>
          </w:p>
        </w:tc>
        <w:tc>
          <w:tcPr>
            <w:tcW w:w="2481" w:type="dxa"/>
          </w:tcPr>
          <w:p w14:paraId="397FF29D" w14:textId="77777777" w:rsidR="00824E79" w:rsidRPr="00824E79" w:rsidRDefault="00824E79" w:rsidP="00824E79">
            <w:pPr>
              <w:spacing w:after="80"/>
              <w:ind w:left="81" w:right="50"/>
              <w:contextualSpacing/>
              <w:cnfStyle w:val="100000000000" w:firstRow="1" w:lastRow="0" w:firstColumn="0" w:lastColumn="0" w:oddVBand="0" w:evenVBand="0" w:oddHBand="0" w:evenHBand="0" w:firstRowFirstColumn="0" w:firstRowLastColumn="0" w:lastRowFirstColumn="0" w:lastRowLastColumn="0"/>
              <w:rPr>
                <w:spacing w:val="1"/>
                <w:sz w:val="23"/>
                <w:szCs w:val="23"/>
              </w:rPr>
            </w:pPr>
            <w:r w:rsidRPr="00824E79">
              <w:rPr>
                <w:sz w:val="23"/>
                <w:szCs w:val="23"/>
              </w:rPr>
              <w:t>Qualifying set</w:t>
            </w:r>
            <w:r w:rsidRPr="00824E79">
              <w:rPr>
                <w:spacing w:val="1"/>
                <w:sz w:val="23"/>
                <w:szCs w:val="23"/>
              </w:rPr>
              <w:t xml:space="preserve"> </w:t>
            </w:r>
            <w:r w:rsidRPr="00824E79">
              <w:rPr>
                <w:sz w:val="23"/>
                <w:szCs w:val="23"/>
              </w:rPr>
              <w:t>(where the</w:t>
            </w:r>
            <w:r w:rsidRPr="00824E79">
              <w:rPr>
                <w:spacing w:val="1"/>
                <w:sz w:val="23"/>
                <w:szCs w:val="23"/>
              </w:rPr>
              <w:t xml:space="preserve"> </w:t>
            </w:r>
            <w:r w:rsidRPr="00824E79">
              <w:rPr>
                <w:sz w:val="23"/>
                <w:szCs w:val="23"/>
              </w:rPr>
              <w:t>minimum mark</w:t>
            </w:r>
            <w:r w:rsidRPr="00824E79">
              <w:rPr>
                <w:spacing w:val="1"/>
                <w:sz w:val="23"/>
                <w:szCs w:val="23"/>
              </w:rPr>
              <w:t xml:space="preserve"> </w:t>
            </w:r>
            <w:r w:rsidRPr="00824E79">
              <w:rPr>
                <w:sz w:val="23"/>
                <w:szCs w:val="23"/>
              </w:rPr>
              <w:t>required applies across multiple</w:t>
            </w:r>
            <w:r w:rsidRPr="00824E79">
              <w:rPr>
                <w:spacing w:val="1"/>
                <w:sz w:val="23"/>
                <w:szCs w:val="23"/>
              </w:rPr>
              <w:t xml:space="preserve"> </w:t>
            </w:r>
            <w:r w:rsidRPr="00824E79">
              <w:rPr>
                <w:sz w:val="23"/>
                <w:szCs w:val="23"/>
              </w:rPr>
              <w:t>assessments)</w:t>
            </w:r>
          </w:p>
        </w:tc>
      </w:tr>
      <w:tr w:rsidR="00824E79" w:rsidRPr="00824E79" w14:paraId="719DB7AF" w14:textId="77777777" w:rsidTr="00FE71EB">
        <w:trPr>
          <w:trHeight w:val="393"/>
        </w:trPr>
        <w:tc>
          <w:tcPr>
            <w:cnfStyle w:val="001000000000" w:firstRow="0" w:lastRow="0" w:firstColumn="1" w:lastColumn="0" w:oddVBand="0" w:evenVBand="0" w:oddHBand="0" w:evenHBand="0" w:firstRowFirstColumn="0" w:firstRowLastColumn="0" w:lastRowFirstColumn="0" w:lastRowLastColumn="0"/>
            <w:tcW w:w="987" w:type="dxa"/>
          </w:tcPr>
          <w:p w14:paraId="0468A036" w14:textId="77777777" w:rsidR="00824E79" w:rsidRPr="00824E79" w:rsidRDefault="00824E79" w:rsidP="00824E79">
            <w:pPr>
              <w:spacing w:after="80"/>
              <w:contextualSpacing/>
            </w:pPr>
            <w:r w:rsidRPr="00824E79">
              <w:t>1</w:t>
            </w:r>
          </w:p>
        </w:tc>
        <w:tc>
          <w:tcPr>
            <w:tcW w:w="1819" w:type="dxa"/>
          </w:tcPr>
          <w:p w14:paraId="3CD6D9B6"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Group Presentation</w:t>
            </w:r>
          </w:p>
        </w:tc>
        <w:tc>
          <w:tcPr>
            <w:tcW w:w="1819" w:type="dxa"/>
          </w:tcPr>
          <w:p w14:paraId="196AE766"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 xml:space="preserve">Presentation </w:t>
            </w:r>
          </w:p>
        </w:tc>
        <w:tc>
          <w:tcPr>
            <w:tcW w:w="1654" w:type="dxa"/>
          </w:tcPr>
          <w:p w14:paraId="353BE416"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30</w:t>
            </w:r>
          </w:p>
        </w:tc>
        <w:tc>
          <w:tcPr>
            <w:tcW w:w="2481" w:type="dxa"/>
            <w:vMerge w:val="restart"/>
          </w:tcPr>
          <w:p w14:paraId="55A9E407"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p>
        </w:tc>
      </w:tr>
      <w:tr w:rsidR="00824E79" w:rsidRPr="00824E79" w14:paraId="09A8D642" w14:textId="77777777" w:rsidTr="00FE71EB">
        <w:trPr>
          <w:trHeight w:val="393"/>
        </w:trPr>
        <w:tc>
          <w:tcPr>
            <w:cnfStyle w:val="001000000000" w:firstRow="0" w:lastRow="0" w:firstColumn="1" w:lastColumn="0" w:oddVBand="0" w:evenVBand="0" w:oddHBand="0" w:evenHBand="0" w:firstRowFirstColumn="0" w:firstRowLastColumn="0" w:lastRowFirstColumn="0" w:lastRowLastColumn="0"/>
            <w:tcW w:w="987" w:type="dxa"/>
          </w:tcPr>
          <w:p w14:paraId="4A9C97EE" w14:textId="77777777" w:rsidR="00824E79" w:rsidRPr="00824E79" w:rsidRDefault="00824E79" w:rsidP="00824E79">
            <w:pPr>
              <w:spacing w:after="80"/>
              <w:contextualSpacing/>
            </w:pPr>
            <w:r w:rsidRPr="00824E79">
              <w:t>2</w:t>
            </w:r>
          </w:p>
        </w:tc>
        <w:tc>
          <w:tcPr>
            <w:tcW w:w="1819" w:type="dxa"/>
          </w:tcPr>
          <w:p w14:paraId="747D59C1"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Coursework</w:t>
            </w:r>
          </w:p>
        </w:tc>
        <w:tc>
          <w:tcPr>
            <w:tcW w:w="1819" w:type="dxa"/>
          </w:tcPr>
          <w:p w14:paraId="07E92838"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Policy brief</w:t>
            </w:r>
          </w:p>
        </w:tc>
        <w:tc>
          <w:tcPr>
            <w:tcW w:w="1654" w:type="dxa"/>
          </w:tcPr>
          <w:p w14:paraId="16B89D6D"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30</w:t>
            </w:r>
          </w:p>
        </w:tc>
        <w:tc>
          <w:tcPr>
            <w:tcW w:w="2481" w:type="dxa"/>
            <w:vMerge/>
          </w:tcPr>
          <w:p w14:paraId="437C1119"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p>
        </w:tc>
      </w:tr>
      <w:tr w:rsidR="00824E79" w:rsidRPr="00824E79" w14:paraId="7165BDF6" w14:textId="77777777" w:rsidTr="00FE71EB">
        <w:trPr>
          <w:trHeight w:val="393"/>
        </w:trPr>
        <w:tc>
          <w:tcPr>
            <w:cnfStyle w:val="001000000000" w:firstRow="0" w:lastRow="0" w:firstColumn="1" w:lastColumn="0" w:oddVBand="0" w:evenVBand="0" w:oddHBand="0" w:evenHBand="0" w:firstRowFirstColumn="0" w:firstRowLastColumn="0" w:lastRowFirstColumn="0" w:lastRowLastColumn="0"/>
            <w:tcW w:w="987" w:type="dxa"/>
          </w:tcPr>
          <w:p w14:paraId="2D306437" w14:textId="77777777" w:rsidR="00824E79" w:rsidRPr="00824E79" w:rsidRDefault="00824E79" w:rsidP="00824E79">
            <w:pPr>
              <w:spacing w:after="80"/>
              <w:contextualSpacing/>
            </w:pPr>
            <w:r w:rsidRPr="00824E79">
              <w:t>3</w:t>
            </w:r>
          </w:p>
        </w:tc>
        <w:tc>
          <w:tcPr>
            <w:tcW w:w="1819" w:type="dxa"/>
          </w:tcPr>
          <w:p w14:paraId="34815B56"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 xml:space="preserve">Closed Book Exam </w:t>
            </w:r>
          </w:p>
        </w:tc>
        <w:tc>
          <w:tcPr>
            <w:tcW w:w="1819" w:type="dxa"/>
          </w:tcPr>
          <w:p w14:paraId="6199C569"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 xml:space="preserve">Final Exam </w:t>
            </w:r>
          </w:p>
        </w:tc>
        <w:tc>
          <w:tcPr>
            <w:tcW w:w="1654" w:type="dxa"/>
          </w:tcPr>
          <w:p w14:paraId="63373ECF"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r w:rsidRPr="00824E79">
              <w:t>40</w:t>
            </w:r>
          </w:p>
        </w:tc>
        <w:tc>
          <w:tcPr>
            <w:tcW w:w="2481" w:type="dxa"/>
            <w:vMerge/>
          </w:tcPr>
          <w:p w14:paraId="59717A18" w14:textId="77777777" w:rsidR="00824E79" w:rsidRPr="00824E79" w:rsidRDefault="00824E79" w:rsidP="00824E79">
            <w:pPr>
              <w:spacing w:after="80"/>
              <w:contextualSpacing/>
              <w:cnfStyle w:val="000000000000" w:firstRow="0" w:lastRow="0" w:firstColumn="0" w:lastColumn="0" w:oddVBand="0" w:evenVBand="0" w:oddHBand="0" w:evenHBand="0" w:firstRowFirstColumn="0" w:firstRowLastColumn="0" w:lastRowFirstColumn="0" w:lastRowLastColumn="0"/>
            </w:pPr>
          </w:p>
        </w:tc>
      </w:tr>
    </w:tbl>
    <w:p w14:paraId="67357F00" w14:textId="77777777" w:rsidR="00824E79" w:rsidRPr="00824E79" w:rsidRDefault="00824E79" w:rsidP="00824E79">
      <w:pPr>
        <w:widowControl w:val="0"/>
        <w:spacing w:before="240" w:after="240"/>
        <w:outlineLvl w:val="0"/>
        <w:rPr>
          <w:rFonts w:ascii="Arial" w:eastAsia="Arial" w:hAnsi="Arial" w:cs="Arial"/>
          <w:b/>
          <w:bCs/>
          <w:sz w:val="32"/>
          <w:szCs w:val="36"/>
          <w:lang w:val="en-US"/>
        </w:rPr>
      </w:pPr>
      <w:r w:rsidRPr="00824E79">
        <w:rPr>
          <w:rFonts w:ascii="Arial" w:eastAsia="Arial" w:hAnsi="Arial" w:cs="Arial"/>
          <w:b/>
          <w:bCs/>
          <w:sz w:val="32"/>
          <w:szCs w:val="36"/>
          <w:lang w:val="en-US"/>
        </w:rPr>
        <w:t>Synoptic assessment</w:t>
      </w:r>
    </w:p>
    <w:p w14:paraId="0A560DC7" w14:textId="77777777" w:rsidR="00824E79" w:rsidRPr="00824E79" w:rsidRDefault="00824E79" w:rsidP="00824E79">
      <w:pPr>
        <w:widowControl w:val="0"/>
        <w:spacing w:before="240" w:after="240"/>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 xml:space="preserve">N/A </w:t>
      </w:r>
    </w:p>
    <w:p w14:paraId="225B388D" w14:textId="77777777" w:rsidR="00824E79" w:rsidRPr="00824E79" w:rsidRDefault="00824E79" w:rsidP="00824E79">
      <w:pPr>
        <w:widowControl w:val="0"/>
        <w:spacing w:after="120"/>
        <w:outlineLvl w:val="0"/>
        <w:rPr>
          <w:rFonts w:ascii="Arial" w:eastAsia="Arial" w:hAnsi="Arial" w:cs="Arial"/>
          <w:b/>
          <w:bCs/>
          <w:color w:val="000000"/>
          <w:sz w:val="32"/>
          <w:szCs w:val="32"/>
          <w:lang w:val="en-US"/>
        </w:rPr>
      </w:pPr>
      <w:r w:rsidRPr="00824E79">
        <w:rPr>
          <w:rFonts w:ascii="Arial" w:eastAsia="Arial" w:hAnsi="Arial" w:cs="Arial"/>
          <w:b/>
          <w:bCs/>
          <w:sz w:val="32"/>
          <w:szCs w:val="36"/>
          <w:lang w:val="en-US"/>
        </w:rPr>
        <w:t>Learning outcomes</w:t>
      </w:r>
    </w:p>
    <w:p w14:paraId="209547F9" w14:textId="77777777" w:rsidR="00824E79" w:rsidRPr="00824E79" w:rsidRDefault="00824E79" w:rsidP="00824E79">
      <w:pPr>
        <w:widowControl w:val="0"/>
        <w:spacing w:after="120"/>
        <w:rPr>
          <w:rFonts w:ascii="Arial" w:eastAsia="Arial" w:hAnsi="Arial" w:cs="Arial"/>
          <w:sz w:val="22"/>
          <w:szCs w:val="22"/>
          <w:lang w:val="en-US"/>
        </w:rPr>
      </w:pPr>
      <w:r w:rsidRPr="00824E79">
        <w:rPr>
          <w:rFonts w:ascii="Arial" w:eastAsia="Arial" w:hAnsi="Arial" w:cs="Arial"/>
          <w:sz w:val="22"/>
          <w:szCs w:val="22"/>
          <w:lang w:val="en-US"/>
        </w:rPr>
        <w:t>By the end of the module the successful student will be able to:</w:t>
      </w:r>
    </w:p>
    <w:p w14:paraId="19F6F1A1" w14:textId="77777777" w:rsidR="00824E79" w:rsidRPr="00824E79" w:rsidRDefault="00824E79" w:rsidP="00824E79">
      <w:pPr>
        <w:widowControl w:val="0"/>
        <w:numPr>
          <w:ilvl w:val="0"/>
          <w:numId w:val="6"/>
        </w:numPr>
        <w:spacing w:after="120"/>
        <w:contextualSpacing/>
        <w:jc w:val="both"/>
        <w:rPr>
          <w:rFonts w:ascii="Arial" w:eastAsia="Arial" w:hAnsi="Arial" w:cs="Arial"/>
          <w:sz w:val="22"/>
          <w:szCs w:val="22"/>
          <w:lang w:val="en-US"/>
        </w:rPr>
      </w:pPr>
      <w:r w:rsidRPr="00824E79">
        <w:rPr>
          <w:rFonts w:ascii="Arial" w:eastAsia="Arial" w:hAnsi="Arial" w:cs="Arial"/>
          <w:sz w:val="22"/>
          <w:szCs w:val="22"/>
          <w:lang w:val="en-US"/>
        </w:rPr>
        <w:t>Demonstrate a detailed understanding of global security threats, including terrorism, and their impact on post-Cold War International Relations.</w:t>
      </w:r>
    </w:p>
    <w:p w14:paraId="31A05C9F" w14:textId="77777777" w:rsidR="00824E79" w:rsidRPr="00824E79" w:rsidRDefault="00824E79" w:rsidP="00824E79">
      <w:pPr>
        <w:widowControl w:val="0"/>
        <w:numPr>
          <w:ilvl w:val="0"/>
          <w:numId w:val="6"/>
        </w:numP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 xml:space="preserve">Able to critically identify the geopolitical dimensions of terrorism and information </w:t>
      </w:r>
      <w:proofErr w:type="gramStart"/>
      <w:r w:rsidRPr="00824E79">
        <w:rPr>
          <w:rFonts w:ascii="Arial" w:eastAsia="Arial" w:hAnsi="Arial" w:cs="Arial"/>
          <w:color w:val="000000"/>
          <w:sz w:val="22"/>
          <w:szCs w:val="22"/>
          <w:lang w:val="en-US"/>
        </w:rPr>
        <w:t>warfare, and</w:t>
      </w:r>
      <w:proofErr w:type="gramEnd"/>
      <w:r w:rsidRPr="00824E79">
        <w:rPr>
          <w:rFonts w:ascii="Arial" w:eastAsia="Arial" w:hAnsi="Arial" w:cs="Arial"/>
          <w:color w:val="000000"/>
          <w:sz w:val="22"/>
          <w:szCs w:val="22"/>
          <w:lang w:val="en-US"/>
        </w:rPr>
        <w:t xml:space="preserve"> integrate them into a narrative on post-Cold War politics.</w:t>
      </w:r>
    </w:p>
    <w:p w14:paraId="700DFCE7" w14:textId="77777777" w:rsidR="00824E79" w:rsidRPr="00824E79" w:rsidRDefault="00824E79" w:rsidP="00824E79">
      <w:pPr>
        <w:widowControl w:val="0"/>
        <w:numPr>
          <w:ilvl w:val="0"/>
          <w:numId w:val="6"/>
        </w:numP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Apply social science methodologies and research skills to analyze the role of information warfare in terrorism, using communication and information technology effectively.</w:t>
      </w:r>
    </w:p>
    <w:p w14:paraId="63AC0C26" w14:textId="77777777" w:rsidR="00824E79" w:rsidRPr="00824E79" w:rsidRDefault="00824E79" w:rsidP="00824E79">
      <w:pPr>
        <w:widowControl w:val="0"/>
        <w:numPr>
          <w:ilvl w:val="0"/>
          <w:numId w:val="6"/>
        </w:numP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 xml:space="preserve">Complete an </w:t>
      </w:r>
      <w:proofErr w:type="gramStart"/>
      <w:r w:rsidRPr="00824E79">
        <w:rPr>
          <w:rFonts w:ascii="Arial" w:eastAsia="Arial" w:hAnsi="Arial" w:cs="Arial"/>
          <w:color w:val="000000"/>
          <w:sz w:val="22"/>
          <w:szCs w:val="22"/>
          <w:lang w:val="en-US"/>
        </w:rPr>
        <w:t>organizational  form</w:t>
      </w:r>
      <w:proofErr w:type="gramEnd"/>
      <w:r w:rsidRPr="00824E79">
        <w:rPr>
          <w:rFonts w:ascii="Arial" w:eastAsia="Arial" w:hAnsi="Arial" w:cs="Arial"/>
          <w:color w:val="000000"/>
          <w:sz w:val="22"/>
          <w:szCs w:val="22"/>
          <w:lang w:val="en-US"/>
        </w:rPr>
        <w:t xml:space="preserve"> of work-based learning in an </w:t>
      </w:r>
      <w:proofErr w:type="spellStart"/>
      <w:r w:rsidRPr="00824E79">
        <w:rPr>
          <w:rFonts w:ascii="Arial" w:eastAsia="Arial" w:hAnsi="Arial" w:cs="Arial"/>
          <w:color w:val="000000"/>
          <w:sz w:val="22"/>
          <w:szCs w:val="22"/>
          <w:lang w:val="en-US"/>
        </w:rPr>
        <w:t>organisational</w:t>
      </w:r>
      <w:proofErr w:type="spellEnd"/>
      <w:r w:rsidRPr="00824E79">
        <w:rPr>
          <w:rFonts w:ascii="Arial" w:eastAsia="Arial" w:hAnsi="Arial" w:cs="Arial"/>
          <w:color w:val="000000"/>
          <w:sz w:val="22"/>
          <w:szCs w:val="22"/>
          <w:lang w:val="en-US"/>
        </w:rPr>
        <w:t xml:space="preserve"> setting, focusing on counter-terrorism strategies and information warfare mitigation.</w:t>
      </w:r>
    </w:p>
    <w:p w14:paraId="5A5AECBD" w14:textId="77777777" w:rsidR="00824E79" w:rsidRPr="00824E79" w:rsidRDefault="00824E79" w:rsidP="00824E79">
      <w:pPr>
        <w:widowControl w:val="0"/>
        <w:numPr>
          <w:ilvl w:val="0"/>
          <w:numId w:val="6"/>
        </w:numP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Work collaboratively and individually in a learning and research environment to develop effective responses to terrorism and information warfare threats.</w:t>
      </w:r>
    </w:p>
    <w:p w14:paraId="6D38EDD1" w14:textId="77777777" w:rsidR="00824E79" w:rsidRPr="00824E79" w:rsidRDefault="00824E79" w:rsidP="00824E79">
      <w:pPr>
        <w:widowControl w:val="0"/>
        <w:spacing w:after="120"/>
        <w:outlineLvl w:val="0"/>
        <w:rPr>
          <w:rFonts w:ascii="Arial" w:eastAsia="Arial" w:hAnsi="Arial" w:cs="Arial"/>
          <w:b/>
          <w:bCs/>
          <w:sz w:val="32"/>
          <w:szCs w:val="36"/>
          <w:lang w:val="en-US"/>
        </w:rPr>
      </w:pPr>
      <w:r w:rsidRPr="00824E79">
        <w:rPr>
          <w:rFonts w:ascii="Arial" w:eastAsia="Arial" w:hAnsi="Arial" w:cs="Arial"/>
          <w:b/>
          <w:bCs/>
          <w:sz w:val="32"/>
          <w:szCs w:val="36"/>
          <w:lang w:val="en-US"/>
        </w:rPr>
        <w:t>Course outcomes the module contributes to:</w:t>
      </w:r>
    </w:p>
    <w:p w14:paraId="3C085EFE" w14:textId="77777777" w:rsidR="00824E79" w:rsidRPr="00824E79" w:rsidRDefault="00824E79" w:rsidP="00824E79">
      <w:pPr>
        <w:widowControl w:val="0"/>
        <w:numPr>
          <w:ilvl w:val="0"/>
          <w:numId w:val="1"/>
        </w:numPr>
        <w:spacing w:after="120"/>
        <w:ind w:left="714" w:hanging="357"/>
        <w:contextualSpacing/>
        <w:jc w:val="both"/>
        <w:outlineLvl w:val="0"/>
        <w:rPr>
          <w:rFonts w:ascii="Arial" w:eastAsia="Arial" w:hAnsi="Arial" w:cs="Arial"/>
          <w:bCs/>
          <w:sz w:val="22"/>
          <w:szCs w:val="22"/>
          <w:lang w:val="en-US"/>
        </w:rPr>
      </w:pPr>
      <w:r w:rsidRPr="00824E79">
        <w:rPr>
          <w:rFonts w:ascii="Arial" w:eastAsia="Arial" w:hAnsi="Arial" w:cs="Arial"/>
          <w:bCs/>
          <w:sz w:val="22"/>
          <w:szCs w:val="22"/>
          <w:lang w:val="en-US"/>
        </w:rPr>
        <w:t>L5.1 Detailed understanding of the contemporary agenda of global security and the key issues that have dominated International Relations in the post-Cold War era.</w:t>
      </w:r>
    </w:p>
    <w:p w14:paraId="2830F7B0" w14:textId="77777777" w:rsidR="00824E79" w:rsidRPr="00824E79" w:rsidRDefault="00824E79" w:rsidP="00824E79">
      <w:pPr>
        <w:widowControl w:val="0"/>
        <w:numPr>
          <w:ilvl w:val="0"/>
          <w:numId w:val="1"/>
        </w:numPr>
        <w:spacing w:after="120"/>
        <w:ind w:left="714" w:hanging="357"/>
        <w:contextualSpacing/>
        <w:jc w:val="both"/>
        <w:outlineLvl w:val="0"/>
        <w:rPr>
          <w:rFonts w:ascii="Arial" w:eastAsia="Arial" w:hAnsi="Arial" w:cs="Arial"/>
          <w:bCs/>
          <w:sz w:val="22"/>
          <w:szCs w:val="22"/>
          <w:lang w:val="en-US"/>
        </w:rPr>
      </w:pPr>
      <w:r w:rsidRPr="00824E79">
        <w:rPr>
          <w:rFonts w:ascii="Arial" w:eastAsia="Arial" w:hAnsi="Arial" w:cs="Arial"/>
          <w:bCs/>
          <w:sz w:val="22"/>
          <w:szCs w:val="22"/>
          <w:lang w:val="en-US"/>
        </w:rPr>
        <w:t>L5.3 An ability to critically identify the geopolitical dimensions of International Relations and key events into a broad narrative on post-Cold War politics.</w:t>
      </w:r>
    </w:p>
    <w:p w14:paraId="799AE45D" w14:textId="77777777" w:rsidR="00824E79" w:rsidRPr="00824E79" w:rsidRDefault="00824E79" w:rsidP="00824E79">
      <w:pPr>
        <w:widowControl w:val="0"/>
        <w:numPr>
          <w:ilvl w:val="0"/>
          <w:numId w:val="1"/>
        </w:numPr>
        <w:spacing w:after="120"/>
        <w:ind w:left="714" w:hanging="357"/>
        <w:contextualSpacing/>
        <w:jc w:val="both"/>
        <w:outlineLvl w:val="0"/>
        <w:rPr>
          <w:rFonts w:ascii="Arial" w:eastAsia="Arial" w:hAnsi="Arial" w:cs="Arial"/>
          <w:bCs/>
          <w:sz w:val="22"/>
          <w:szCs w:val="22"/>
          <w:lang w:val="en-US"/>
        </w:rPr>
      </w:pPr>
      <w:r w:rsidRPr="00824E79">
        <w:rPr>
          <w:rFonts w:ascii="Arial" w:eastAsia="Arial" w:hAnsi="Arial" w:cs="Arial"/>
          <w:bCs/>
          <w:sz w:val="22"/>
          <w:szCs w:val="22"/>
          <w:lang w:val="en-US"/>
        </w:rPr>
        <w:t>L5.6 An understanding of the role of social science methodologies and political research skills in the research process, including the ability to use communication and information technology for the retrieval and presentation of information.</w:t>
      </w:r>
    </w:p>
    <w:p w14:paraId="4637C44A" w14:textId="77777777" w:rsidR="00824E79" w:rsidRPr="00824E79" w:rsidRDefault="00824E79" w:rsidP="00824E79">
      <w:pPr>
        <w:widowControl w:val="0"/>
        <w:numPr>
          <w:ilvl w:val="0"/>
          <w:numId w:val="1"/>
        </w:numPr>
        <w:spacing w:after="120"/>
        <w:ind w:left="714" w:hanging="357"/>
        <w:contextualSpacing/>
        <w:jc w:val="both"/>
        <w:outlineLvl w:val="0"/>
        <w:rPr>
          <w:rFonts w:ascii="Arial" w:eastAsia="Arial" w:hAnsi="Arial" w:cs="Arial"/>
          <w:sz w:val="22"/>
          <w:szCs w:val="22"/>
          <w:lang w:val="en-US"/>
        </w:rPr>
      </w:pPr>
      <w:r w:rsidRPr="00824E79">
        <w:rPr>
          <w:rFonts w:ascii="Arial" w:eastAsia="Arial" w:hAnsi="Arial" w:cs="Arial"/>
          <w:sz w:val="22"/>
          <w:szCs w:val="22"/>
          <w:lang w:val="en-US"/>
        </w:rPr>
        <w:t>L5.8 An ability to successfully complete tasks that are transferrable to an appropriate professional employment setting.</w:t>
      </w:r>
    </w:p>
    <w:p w14:paraId="64721223" w14:textId="77777777" w:rsidR="00824E79" w:rsidRPr="00824E79" w:rsidRDefault="00824E79" w:rsidP="00824E79">
      <w:pPr>
        <w:widowControl w:val="0"/>
        <w:numPr>
          <w:ilvl w:val="0"/>
          <w:numId w:val="1"/>
        </w:numPr>
        <w:spacing w:after="120"/>
        <w:ind w:left="714" w:hanging="357"/>
        <w:contextualSpacing/>
        <w:jc w:val="both"/>
        <w:outlineLvl w:val="0"/>
        <w:rPr>
          <w:rFonts w:ascii="Arial" w:eastAsia="Arial" w:hAnsi="Arial" w:cs="Arial"/>
          <w:bCs/>
          <w:sz w:val="22"/>
          <w:szCs w:val="22"/>
          <w:lang w:val="en-US"/>
        </w:rPr>
      </w:pPr>
      <w:r w:rsidRPr="00824E79">
        <w:rPr>
          <w:rFonts w:ascii="Arial" w:eastAsia="Arial" w:hAnsi="Arial" w:cs="Arial"/>
          <w:bCs/>
          <w:sz w:val="22"/>
          <w:szCs w:val="22"/>
          <w:lang w:val="en-US"/>
        </w:rPr>
        <w:t>L5.9 Develop the skills to work collaboratively as well as individually in a learning and research environment.</w:t>
      </w:r>
    </w:p>
    <w:p w14:paraId="072EBEF5" w14:textId="77777777" w:rsidR="00824E79" w:rsidRPr="00824E79" w:rsidRDefault="00824E79" w:rsidP="00824E79">
      <w:pPr>
        <w:widowControl w:val="0"/>
        <w:spacing w:after="120"/>
        <w:outlineLvl w:val="0"/>
        <w:rPr>
          <w:rFonts w:ascii="Arial" w:eastAsia="Arial" w:hAnsi="Arial" w:cs="Arial"/>
          <w:b/>
          <w:bCs/>
          <w:sz w:val="32"/>
          <w:szCs w:val="36"/>
          <w:lang w:val="en-US"/>
        </w:rPr>
      </w:pPr>
      <w:r w:rsidRPr="00824E79">
        <w:rPr>
          <w:rFonts w:ascii="Arial" w:eastAsia="Arial" w:hAnsi="Arial" w:cs="Arial"/>
          <w:b/>
          <w:bCs/>
          <w:sz w:val="32"/>
          <w:szCs w:val="36"/>
          <w:lang w:val="en-US"/>
        </w:rPr>
        <w:t>Indicative syllabus content</w:t>
      </w:r>
    </w:p>
    <w:p w14:paraId="2760623F"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Terrorism – origins of the term.</w:t>
      </w:r>
    </w:p>
    <w:p w14:paraId="37A5C8EE" w14:textId="77777777" w:rsidR="00824E79" w:rsidRPr="00824E79" w:rsidRDefault="00824E79" w:rsidP="00824E79">
      <w:pPr>
        <w:widowControl w:val="0"/>
        <w:numPr>
          <w:ilvl w:val="0"/>
          <w:numId w:val="2"/>
        </w:numPr>
        <w:spacing w:after="120"/>
        <w:contextualSpacing/>
        <w:rPr>
          <w:rFonts w:ascii="Arial" w:eastAsia="Arial" w:hAnsi="Arial" w:cs="Arial"/>
          <w:sz w:val="22"/>
          <w:szCs w:val="22"/>
          <w:lang w:val="en-US"/>
        </w:rPr>
      </w:pPr>
      <w:r w:rsidRPr="00824E79">
        <w:rPr>
          <w:rFonts w:ascii="Arial" w:eastAsia="Arial" w:hAnsi="Arial" w:cs="Arial"/>
          <w:sz w:val="22"/>
          <w:szCs w:val="22"/>
          <w:lang w:val="en-US"/>
        </w:rPr>
        <w:t>Defining terrorism from Brutus’s killing of Caesar to ISIS.</w:t>
      </w:r>
    </w:p>
    <w:p w14:paraId="6E1A1538"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 xml:space="preserve">Responses to terrorism – anti-terrorism and </w:t>
      </w:r>
      <w:proofErr w:type="gramStart"/>
      <w:r w:rsidRPr="00824E79">
        <w:rPr>
          <w:rFonts w:ascii="Arial" w:eastAsia="Arial" w:hAnsi="Arial" w:cs="Arial"/>
          <w:bCs/>
          <w:color w:val="000000"/>
          <w:sz w:val="22"/>
          <w:szCs w:val="22"/>
          <w:highlight w:val="white"/>
          <w:lang w:val="en-US"/>
        </w:rPr>
        <w:t>counter-terrorism</w:t>
      </w:r>
      <w:proofErr w:type="gramEnd"/>
      <w:r w:rsidRPr="00824E79">
        <w:rPr>
          <w:rFonts w:ascii="Arial" w:eastAsia="Arial" w:hAnsi="Arial" w:cs="Arial"/>
          <w:bCs/>
          <w:color w:val="000000"/>
          <w:sz w:val="22"/>
          <w:szCs w:val="22"/>
          <w:highlight w:val="white"/>
          <w:lang w:val="en-US"/>
        </w:rPr>
        <w:t>.</w:t>
      </w:r>
    </w:p>
    <w:p w14:paraId="79ACFF79"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Terrorism or national liberation? – conceptual and moral levels of analysis.</w:t>
      </w:r>
    </w:p>
    <w:p w14:paraId="7CD1C801"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lastRenderedPageBreak/>
        <w:t>Globalization and terrorism.</w:t>
      </w:r>
    </w:p>
    <w:p w14:paraId="16F2C2BB"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Religion and Terrorism.</w:t>
      </w:r>
    </w:p>
    <w:p w14:paraId="7A2536DA"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Terrorism quandary at the backdrop of international law – review of international documents on terrorism.</w:t>
      </w:r>
    </w:p>
    <w:p w14:paraId="00B64EDF"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Types of terrorist incidents and their perpetrators.</w:t>
      </w:r>
    </w:p>
    <w:p w14:paraId="6CFC7649"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NGO versus state-sponsored terrorism – terrorism as a weapon of the weak.</w:t>
      </w:r>
    </w:p>
    <w:p w14:paraId="2C52ADFB"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New technologies at the service of terrorists.</w:t>
      </w:r>
    </w:p>
    <w:p w14:paraId="7AE944EE"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Nuclear terrorism – a real threat?</w:t>
      </w:r>
    </w:p>
    <w:p w14:paraId="62065AFD"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Close up examination of anti-terrorism legislation in selected countries – e.g. United States, Great Britain, Israel.</w:t>
      </w:r>
    </w:p>
    <w:p w14:paraId="28DD97C5"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 xml:space="preserve">Terrorism in political communication. </w:t>
      </w:r>
    </w:p>
    <w:p w14:paraId="58141DB5"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Political impact of terrorist media coverage.</w:t>
      </w:r>
    </w:p>
    <w:p w14:paraId="16C48AFD"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Media amplification of terrorist communication.</w:t>
      </w:r>
    </w:p>
    <w:p w14:paraId="0D14C469"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Propaganda: Media’s role in recruitment tactics.</w:t>
      </w:r>
    </w:p>
    <w:p w14:paraId="70BFA1F8" w14:textId="77777777" w:rsidR="00824E79" w:rsidRPr="00824E79" w:rsidRDefault="00824E79" w:rsidP="00824E79">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824E79">
        <w:rPr>
          <w:rFonts w:ascii="Arial" w:eastAsia="Arial" w:hAnsi="Arial" w:cs="Arial"/>
          <w:bCs/>
          <w:color w:val="000000"/>
          <w:sz w:val="22"/>
          <w:szCs w:val="22"/>
          <w:highlight w:val="white"/>
          <w:lang w:val="en-US"/>
        </w:rPr>
        <w:t>Government messaging in countering terrorism.</w:t>
      </w:r>
    </w:p>
    <w:p w14:paraId="02B59F48" w14:textId="77777777" w:rsidR="00824E79" w:rsidRPr="00824E79" w:rsidRDefault="00824E79" w:rsidP="00824E79">
      <w:pPr>
        <w:widowControl w:val="0"/>
        <w:spacing w:before="240" w:after="240"/>
        <w:outlineLvl w:val="0"/>
        <w:rPr>
          <w:rFonts w:ascii="Arial" w:eastAsia="Arial" w:hAnsi="Arial" w:cs="Arial"/>
          <w:b/>
          <w:bCs/>
          <w:sz w:val="32"/>
          <w:szCs w:val="36"/>
          <w:lang w:val="en-US"/>
        </w:rPr>
      </w:pPr>
      <w:r w:rsidRPr="00824E79">
        <w:rPr>
          <w:rFonts w:ascii="Arial" w:eastAsia="Arial" w:hAnsi="Arial" w:cs="Arial"/>
          <w:b/>
          <w:bCs/>
          <w:sz w:val="32"/>
          <w:szCs w:val="36"/>
          <w:lang w:val="en-US"/>
        </w:rPr>
        <w:t>Teaching and learning methods</w:t>
      </w:r>
    </w:p>
    <w:p w14:paraId="0CAC4E1F" w14:textId="77777777" w:rsidR="00824E79" w:rsidRPr="00824E79" w:rsidRDefault="00824E79" w:rsidP="00824E79">
      <w:pPr>
        <w:widowControl w:val="0"/>
        <w:spacing w:after="120"/>
        <w:contextualSpacing/>
        <w:jc w:val="both"/>
        <w:rPr>
          <w:rFonts w:ascii="Arial" w:eastAsia="Arial" w:hAnsi="Arial" w:cs="Arial"/>
          <w:sz w:val="22"/>
          <w:szCs w:val="22"/>
          <w:lang w:val="en-US"/>
        </w:rPr>
      </w:pPr>
      <w:sdt>
        <w:sdtPr>
          <w:rPr>
            <w:rFonts w:ascii="Arial" w:eastAsia="Arial" w:hAnsi="Arial" w:cs="Arial"/>
            <w:sz w:val="22"/>
            <w:szCs w:val="22"/>
            <w:lang w:val="en-US"/>
          </w:rPr>
          <w:tag w:val="goog_rdk_29"/>
          <w:id w:val="-667788944"/>
        </w:sdtPr>
        <w:sdtContent>
          <w:r w:rsidRPr="00824E79">
            <w:rPr>
              <w:rFonts w:ascii="Arial" w:eastAsia="Arial" w:hAnsi="Arial" w:cs="Arial"/>
              <w:sz w:val="22"/>
              <w:szCs w:val="22"/>
              <w:lang w:val="en-US"/>
            </w:rPr>
            <w:t>This module includes seminars that introduce key theoretical concepts, followed by case study analyses, debates, and group discussions. Presentations will be used to facilitate peer learning and stimulate classroom debates on counter-terrorism strategies. Tutorials will provide structured feedback on written work and assessment preparation.</w:t>
          </w:r>
        </w:sdtContent>
      </w:sdt>
    </w:p>
    <w:p w14:paraId="493DC13F" w14:textId="77777777" w:rsidR="00824E79" w:rsidRPr="00824E79" w:rsidRDefault="00824E79" w:rsidP="00824E79">
      <w:pPr>
        <w:pBdr>
          <w:top w:val="nil"/>
          <w:left w:val="nil"/>
          <w:bottom w:val="nil"/>
          <w:right w:val="nil"/>
          <w:between w:val="nil"/>
        </w:pBdr>
        <w:contextualSpacing/>
        <w:jc w:val="both"/>
        <w:rPr>
          <w:rFonts w:ascii="Quattrocento Sans" w:eastAsia="Quattrocento Sans" w:hAnsi="Quattrocento Sans" w:cs="Quattrocento Sans"/>
          <w:i/>
          <w:color w:val="000000"/>
          <w:sz w:val="18"/>
          <w:szCs w:val="18"/>
          <w:lang w:val="en-US"/>
        </w:rPr>
      </w:pPr>
    </w:p>
    <w:tbl>
      <w:tblPr>
        <w:tblW w:w="90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A0" w:firstRow="1" w:lastRow="0" w:firstColumn="1" w:lastColumn="0" w:noHBand="1" w:noVBand="1"/>
      </w:tblPr>
      <w:tblGrid>
        <w:gridCol w:w="5098"/>
        <w:gridCol w:w="1986"/>
        <w:gridCol w:w="1926"/>
      </w:tblGrid>
      <w:tr w:rsidR="00824E79" w:rsidRPr="00824E79" w14:paraId="0B0E0AA9" w14:textId="77777777" w:rsidTr="00FE71EB">
        <w:trPr>
          <w:cantSplit/>
          <w:trHeight w:val="397"/>
        </w:trPr>
        <w:tc>
          <w:tcPr>
            <w:tcW w:w="5098" w:type="dxa"/>
          </w:tcPr>
          <w:p w14:paraId="612B7161"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Activity type</w:t>
            </w:r>
          </w:p>
        </w:tc>
        <w:tc>
          <w:tcPr>
            <w:tcW w:w="1986" w:type="dxa"/>
          </w:tcPr>
          <w:p w14:paraId="5AA98F8C"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Category</w:t>
            </w:r>
          </w:p>
        </w:tc>
        <w:tc>
          <w:tcPr>
            <w:tcW w:w="1926" w:type="dxa"/>
          </w:tcPr>
          <w:p w14:paraId="35F4CA9F"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Student learning and teaching hours*</w:t>
            </w:r>
          </w:p>
        </w:tc>
      </w:tr>
      <w:tr w:rsidR="00824E79" w:rsidRPr="00824E79" w14:paraId="49DE7B12" w14:textId="77777777" w:rsidTr="00FE71EB">
        <w:trPr>
          <w:cantSplit/>
          <w:trHeight w:val="397"/>
        </w:trPr>
        <w:tc>
          <w:tcPr>
            <w:tcW w:w="5098" w:type="dxa"/>
          </w:tcPr>
          <w:p w14:paraId="34BBA127"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Lecture</w:t>
            </w:r>
          </w:p>
        </w:tc>
        <w:tc>
          <w:tcPr>
            <w:tcW w:w="1986" w:type="dxa"/>
          </w:tcPr>
          <w:p w14:paraId="1D223202"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43E52C3A"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09A6257E" w14:textId="77777777" w:rsidTr="00FE71EB">
        <w:trPr>
          <w:cantSplit/>
          <w:trHeight w:val="397"/>
        </w:trPr>
        <w:tc>
          <w:tcPr>
            <w:tcW w:w="5098" w:type="dxa"/>
          </w:tcPr>
          <w:p w14:paraId="77243EBF"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Seminar</w:t>
            </w:r>
          </w:p>
        </w:tc>
        <w:tc>
          <w:tcPr>
            <w:tcW w:w="1986" w:type="dxa"/>
          </w:tcPr>
          <w:p w14:paraId="44882417"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35DD6631"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60</w:t>
            </w:r>
          </w:p>
        </w:tc>
      </w:tr>
      <w:tr w:rsidR="00824E79" w:rsidRPr="00824E79" w14:paraId="01E3A3E3" w14:textId="77777777" w:rsidTr="00FE71EB">
        <w:trPr>
          <w:cantSplit/>
          <w:trHeight w:val="397"/>
        </w:trPr>
        <w:tc>
          <w:tcPr>
            <w:tcW w:w="5098" w:type="dxa"/>
          </w:tcPr>
          <w:p w14:paraId="45F91562"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Tutorial</w:t>
            </w:r>
          </w:p>
        </w:tc>
        <w:tc>
          <w:tcPr>
            <w:tcW w:w="1986" w:type="dxa"/>
          </w:tcPr>
          <w:p w14:paraId="7FB63CCB"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0D47430B"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14BD32CB" w14:textId="77777777" w:rsidTr="00FE71EB">
        <w:trPr>
          <w:cantSplit/>
          <w:trHeight w:val="397"/>
        </w:trPr>
        <w:tc>
          <w:tcPr>
            <w:tcW w:w="5098" w:type="dxa"/>
          </w:tcPr>
          <w:p w14:paraId="1512F95C"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Project supervisor</w:t>
            </w:r>
          </w:p>
        </w:tc>
        <w:tc>
          <w:tcPr>
            <w:tcW w:w="1986" w:type="dxa"/>
          </w:tcPr>
          <w:p w14:paraId="13F4F340"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3724AAE7"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11DF46C4" w14:textId="77777777" w:rsidTr="00FE71EB">
        <w:trPr>
          <w:cantSplit/>
          <w:trHeight w:val="397"/>
        </w:trPr>
        <w:tc>
          <w:tcPr>
            <w:tcW w:w="5098" w:type="dxa"/>
          </w:tcPr>
          <w:p w14:paraId="3952452D"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Demonstration</w:t>
            </w:r>
          </w:p>
        </w:tc>
        <w:tc>
          <w:tcPr>
            <w:tcW w:w="1986" w:type="dxa"/>
          </w:tcPr>
          <w:p w14:paraId="2434A85D"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132BC989"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5A7A4C3C" w14:textId="77777777" w:rsidTr="00FE71EB">
        <w:trPr>
          <w:cantSplit/>
          <w:trHeight w:val="397"/>
        </w:trPr>
        <w:tc>
          <w:tcPr>
            <w:tcW w:w="5098" w:type="dxa"/>
          </w:tcPr>
          <w:p w14:paraId="3DAA974F"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Practical classes and workshops</w:t>
            </w:r>
          </w:p>
        </w:tc>
        <w:tc>
          <w:tcPr>
            <w:tcW w:w="1986" w:type="dxa"/>
          </w:tcPr>
          <w:p w14:paraId="547B7DD3"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2096F679"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48206C75" w14:textId="77777777" w:rsidTr="00FE71EB">
        <w:trPr>
          <w:cantSplit/>
          <w:trHeight w:val="397"/>
        </w:trPr>
        <w:tc>
          <w:tcPr>
            <w:tcW w:w="5098" w:type="dxa"/>
          </w:tcPr>
          <w:p w14:paraId="20CB7031"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Supervised time in studio/workshop</w:t>
            </w:r>
          </w:p>
        </w:tc>
        <w:tc>
          <w:tcPr>
            <w:tcW w:w="1986" w:type="dxa"/>
          </w:tcPr>
          <w:p w14:paraId="379BCBD6"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6EE7A7E2"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42FEE450" w14:textId="77777777" w:rsidTr="00FE71EB">
        <w:trPr>
          <w:cantSplit/>
          <w:trHeight w:val="397"/>
        </w:trPr>
        <w:tc>
          <w:tcPr>
            <w:tcW w:w="5098" w:type="dxa"/>
          </w:tcPr>
          <w:p w14:paraId="1EED98CD"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Fieldwork</w:t>
            </w:r>
          </w:p>
        </w:tc>
        <w:tc>
          <w:tcPr>
            <w:tcW w:w="1986" w:type="dxa"/>
          </w:tcPr>
          <w:p w14:paraId="1C0BB137"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079A3C10"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48C35651" w14:textId="77777777" w:rsidTr="00FE71EB">
        <w:trPr>
          <w:cantSplit/>
          <w:trHeight w:val="397"/>
        </w:trPr>
        <w:tc>
          <w:tcPr>
            <w:tcW w:w="5098" w:type="dxa"/>
          </w:tcPr>
          <w:p w14:paraId="4789BB3C"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External visits</w:t>
            </w:r>
          </w:p>
        </w:tc>
        <w:tc>
          <w:tcPr>
            <w:tcW w:w="1986" w:type="dxa"/>
          </w:tcPr>
          <w:p w14:paraId="09E0D567"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1167736A"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11D1BC98" w14:textId="77777777" w:rsidTr="00FE71EB">
        <w:trPr>
          <w:cantSplit/>
          <w:trHeight w:val="397"/>
        </w:trPr>
        <w:tc>
          <w:tcPr>
            <w:tcW w:w="5098" w:type="dxa"/>
          </w:tcPr>
          <w:p w14:paraId="08D32CBB"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Work based learning</w:t>
            </w:r>
          </w:p>
        </w:tc>
        <w:tc>
          <w:tcPr>
            <w:tcW w:w="1986" w:type="dxa"/>
          </w:tcPr>
          <w:p w14:paraId="2867CA77"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30CF0A7A"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66ACFAE6" w14:textId="77777777" w:rsidTr="00FE71EB">
        <w:trPr>
          <w:cantSplit/>
          <w:trHeight w:val="397"/>
        </w:trPr>
        <w:tc>
          <w:tcPr>
            <w:tcW w:w="5098" w:type="dxa"/>
          </w:tcPr>
          <w:p w14:paraId="363CD7A1"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Scheduled online learning</w:t>
            </w:r>
          </w:p>
        </w:tc>
        <w:tc>
          <w:tcPr>
            <w:tcW w:w="1986" w:type="dxa"/>
          </w:tcPr>
          <w:p w14:paraId="57290F1B"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5D3573EC"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2D1410A1" w14:textId="77777777" w:rsidTr="00FE71EB">
        <w:trPr>
          <w:cantSplit/>
          <w:trHeight w:val="397"/>
        </w:trPr>
        <w:tc>
          <w:tcPr>
            <w:tcW w:w="5098" w:type="dxa"/>
          </w:tcPr>
          <w:p w14:paraId="1522456A"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Other learning</w:t>
            </w:r>
          </w:p>
        </w:tc>
        <w:tc>
          <w:tcPr>
            <w:tcW w:w="1986" w:type="dxa"/>
          </w:tcPr>
          <w:p w14:paraId="5ECDB0A6"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Scheduled</w:t>
            </w:r>
          </w:p>
        </w:tc>
        <w:tc>
          <w:tcPr>
            <w:tcW w:w="1926" w:type="dxa"/>
          </w:tcPr>
          <w:p w14:paraId="13FEB28A"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1BF5EAC8" w14:textId="77777777" w:rsidTr="00FE71EB">
        <w:trPr>
          <w:cantSplit/>
          <w:trHeight w:val="397"/>
        </w:trPr>
        <w:tc>
          <w:tcPr>
            <w:tcW w:w="5098" w:type="dxa"/>
          </w:tcPr>
          <w:p w14:paraId="75CEC8AD"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Total scheduled</w:t>
            </w:r>
          </w:p>
        </w:tc>
        <w:tc>
          <w:tcPr>
            <w:tcW w:w="1986" w:type="dxa"/>
          </w:tcPr>
          <w:p w14:paraId="18F58D09"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c>
          <w:tcPr>
            <w:tcW w:w="1926" w:type="dxa"/>
          </w:tcPr>
          <w:p w14:paraId="1F30533C"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60</w:t>
            </w:r>
          </w:p>
        </w:tc>
      </w:tr>
      <w:tr w:rsidR="00824E79" w:rsidRPr="00824E79" w14:paraId="7EFDD5FC" w14:textId="77777777" w:rsidTr="00FE71EB">
        <w:trPr>
          <w:cantSplit/>
          <w:trHeight w:val="397"/>
        </w:trPr>
        <w:tc>
          <w:tcPr>
            <w:tcW w:w="5098" w:type="dxa"/>
          </w:tcPr>
          <w:p w14:paraId="443CC728"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Placement</w:t>
            </w:r>
          </w:p>
        </w:tc>
        <w:tc>
          <w:tcPr>
            <w:tcW w:w="1986" w:type="dxa"/>
          </w:tcPr>
          <w:p w14:paraId="6AB134D4"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Placement</w:t>
            </w:r>
          </w:p>
        </w:tc>
        <w:tc>
          <w:tcPr>
            <w:tcW w:w="1926" w:type="dxa"/>
          </w:tcPr>
          <w:p w14:paraId="2B44870D"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824E79" w:rsidRPr="00824E79" w14:paraId="0C63DA47" w14:textId="77777777" w:rsidTr="00FE71EB">
        <w:trPr>
          <w:cantSplit/>
          <w:trHeight w:val="397"/>
        </w:trPr>
        <w:tc>
          <w:tcPr>
            <w:tcW w:w="5098" w:type="dxa"/>
          </w:tcPr>
          <w:p w14:paraId="6B0723B3"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Independent study</w:t>
            </w:r>
          </w:p>
        </w:tc>
        <w:tc>
          <w:tcPr>
            <w:tcW w:w="1986" w:type="dxa"/>
          </w:tcPr>
          <w:p w14:paraId="0BF16D50"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Independent</w:t>
            </w:r>
          </w:p>
        </w:tc>
        <w:tc>
          <w:tcPr>
            <w:tcW w:w="1926" w:type="dxa"/>
          </w:tcPr>
          <w:p w14:paraId="47FB3D1A"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140</w:t>
            </w:r>
          </w:p>
        </w:tc>
      </w:tr>
      <w:tr w:rsidR="00824E79" w:rsidRPr="00824E79" w14:paraId="1E7CFF4C" w14:textId="77777777" w:rsidTr="00FE71EB">
        <w:trPr>
          <w:cantSplit/>
          <w:trHeight w:val="397"/>
        </w:trPr>
        <w:tc>
          <w:tcPr>
            <w:tcW w:w="5098" w:type="dxa"/>
          </w:tcPr>
          <w:p w14:paraId="6DB9825F"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824E79">
              <w:rPr>
                <w:rFonts w:ascii="Arial" w:eastAsia="Arial" w:hAnsi="Arial" w:cs="Arial"/>
                <w:color w:val="000000"/>
                <w:lang w:val="en-US"/>
              </w:rPr>
              <w:t>Total student learning and teaching hours</w:t>
            </w:r>
          </w:p>
        </w:tc>
        <w:tc>
          <w:tcPr>
            <w:tcW w:w="1986" w:type="dxa"/>
          </w:tcPr>
          <w:p w14:paraId="00CB79A4"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p>
        </w:tc>
        <w:tc>
          <w:tcPr>
            <w:tcW w:w="1926" w:type="dxa"/>
          </w:tcPr>
          <w:p w14:paraId="1906371C" w14:textId="77777777" w:rsidR="00824E79" w:rsidRPr="00824E79" w:rsidRDefault="00824E79" w:rsidP="00824E79">
            <w:pPr>
              <w:widowControl w:val="0"/>
              <w:pBdr>
                <w:top w:val="nil"/>
                <w:left w:val="nil"/>
                <w:bottom w:val="nil"/>
                <w:right w:val="nil"/>
                <w:between w:val="nil"/>
              </w:pBdr>
              <w:spacing w:before="80" w:after="80"/>
              <w:contextualSpacing/>
              <w:rPr>
                <w:rFonts w:ascii="Arial" w:eastAsia="Arial" w:hAnsi="Arial" w:cs="Arial"/>
                <w:color w:val="000000"/>
                <w:lang w:val="en-US"/>
              </w:rPr>
            </w:pPr>
            <w:r w:rsidRPr="00824E79">
              <w:rPr>
                <w:rFonts w:ascii="Arial" w:eastAsia="Arial" w:hAnsi="Arial" w:cs="Arial"/>
                <w:color w:val="000000"/>
                <w:lang w:val="en-US"/>
              </w:rPr>
              <w:t>200</w:t>
            </w:r>
          </w:p>
        </w:tc>
      </w:tr>
    </w:tbl>
    <w:p w14:paraId="3C5AC896" w14:textId="77777777" w:rsidR="00824E79" w:rsidRPr="00824E79" w:rsidRDefault="00824E79" w:rsidP="00824E79">
      <w:pPr>
        <w:widowControl w:val="0"/>
        <w:spacing w:before="120"/>
        <w:contextualSpacing/>
        <w:rPr>
          <w:rFonts w:ascii="Arial" w:eastAsia="Arial" w:hAnsi="Arial" w:cs="Arial"/>
          <w:sz w:val="22"/>
          <w:szCs w:val="22"/>
          <w:lang w:val="en-US"/>
        </w:rPr>
      </w:pPr>
      <w:r w:rsidRPr="00824E79">
        <w:rPr>
          <w:rFonts w:ascii="Arial" w:eastAsia="Arial" w:hAnsi="Arial" w:cs="Arial"/>
          <w:sz w:val="22"/>
          <w:szCs w:val="22"/>
          <w:lang w:val="en-US"/>
        </w:rPr>
        <w:t>*</w:t>
      </w:r>
      <w:proofErr w:type="gramStart"/>
      <w:r w:rsidRPr="00824E79">
        <w:rPr>
          <w:rFonts w:ascii="Arial" w:eastAsia="Arial" w:hAnsi="Arial" w:cs="Arial"/>
          <w:sz w:val="22"/>
          <w:szCs w:val="22"/>
          <w:lang w:val="en-US"/>
        </w:rPr>
        <w:t>hours</w:t>
      </w:r>
      <w:proofErr w:type="gramEnd"/>
      <w:r w:rsidRPr="00824E79">
        <w:rPr>
          <w:rFonts w:ascii="Arial" w:eastAsia="Arial" w:hAnsi="Arial" w:cs="Arial"/>
          <w:sz w:val="22"/>
          <w:szCs w:val="22"/>
          <w:lang w:val="en-US"/>
        </w:rPr>
        <w:t xml:space="preserve"> per activity type are indicative and subject to change.</w:t>
      </w:r>
    </w:p>
    <w:p w14:paraId="01CDE6A5" w14:textId="77777777" w:rsidR="00824E79" w:rsidRPr="00824E79" w:rsidRDefault="00824E79" w:rsidP="00824E79">
      <w:pPr>
        <w:widowControl w:val="0"/>
        <w:spacing w:after="120"/>
        <w:contextualSpacing/>
        <w:rPr>
          <w:rFonts w:ascii="Arial" w:eastAsia="Arial" w:hAnsi="Arial" w:cs="Arial"/>
          <w:sz w:val="22"/>
          <w:szCs w:val="22"/>
          <w:lang w:val="en-US"/>
        </w:rPr>
      </w:pPr>
    </w:p>
    <w:p w14:paraId="5315F007" w14:textId="77777777" w:rsidR="00824E79" w:rsidRPr="00824E79" w:rsidRDefault="00824E79" w:rsidP="00824E79">
      <w:pPr>
        <w:widowControl w:val="0"/>
        <w:spacing w:before="240" w:after="240"/>
        <w:outlineLvl w:val="0"/>
        <w:rPr>
          <w:rFonts w:ascii="Arial" w:eastAsia="Arial" w:hAnsi="Arial" w:cs="Arial"/>
          <w:b/>
          <w:bCs/>
          <w:sz w:val="32"/>
          <w:szCs w:val="36"/>
          <w:lang w:val="en-US"/>
        </w:rPr>
      </w:pPr>
      <w:r w:rsidRPr="00824E79">
        <w:rPr>
          <w:rFonts w:ascii="Arial" w:eastAsia="Arial" w:hAnsi="Arial" w:cs="Arial"/>
          <w:b/>
          <w:bCs/>
          <w:sz w:val="32"/>
          <w:szCs w:val="36"/>
          <w:lang w:val="en-US"/>
        </w:rPr>
        <w:lastRenderedPageBreak/>
        <w:t>Assessment rationale: why has this assessment been used for this module?</w:t>
      </w:r>
    </w:p>
    <w:p w14:paraId="0BA61D35" w14:textId="77777777" w:rsidR="00824E79" w:rsidRPr="00824E79" w:rsidRDefault="00824E79" w:rsidP="00824E79">
      <w:p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b/>
          <w:bCs/>
          <w:color w:val="000000"/>
          <w:sz w:val="22"/>
          <w:szCs w:val="22"/>
          <w:lang w:val="en-US"/>
        </w:rPr>
        <w:t>The presentation:</w:t>
      </w:r>
      <w:r w:rsidRPr="00824E79">
        <w:rPr>
          <w:rFonts w:ascii="Arial" w:eastAsia="Arial" w:hAnsi="Arial" w:cs="Arial"/>
          <w:color w:val="000000"/>
          <w:sz w:val="22"/>
          <w:szCs w:val="22"/>
          <w:lang w:val="en-US"/>
        </w:rPr>
        <w:t xml:space="preserve"> The presentation should utilize PowerPoint or comparable software (students opting for a file format other than .pptx must inform the instructor in advance to prevent technical issues). The duration will be 20 minutes for pairs and 30 minutes for groups of three, with each participant allotted equal speaking time (10 minutes) The presentation will be succeeded by a concise Q&amp;A session, assisting students in cultivating abilities for authentic public interaction. This approach will evaluate their communication skills, analytical reasoning, and capacity to apply theoretical principles to case studies, so improving public speaking, critical analysis, and problem-solving abilities. These competencies enhance employability in sectors such as security, policy analysis, public affairs, lobbying, and analogous professions, where effective communication and critical thinking are critical. This assessment tests LOs 4 and 5.</w:t>
      </w:r>
    </w:p>
    <w:p w14:paraId="7EBB2A81" w14:textId="77777777" w:rsidR="00824E79" w:rsidRPr="00824E79" w:rsidRDefault="00824E79" w:rsidP="00824E79">
      <w:pPr>
        <w:pBdr>
          <w:top w:val="nil"/>
          <w:left w:val="nil"/>
          <w:bottom w:val="nil"/>
          <w:right w:val="nil"/>
          <w:between w:val="nil"/>
        </w:pBdr>
        <w:spacing w:after="120"/>
        <w:contextualSpacing/>
        <w:jc w:val="both"/>
        <w:rPr>
          <w:rFonts w:ascii="Arial" w:eastAsia="Arial" w:hAnsi="Arial" w:cs="Arial"/>
          <w:color w:val="000000"/>
          <w:sz w:val="22"/>
          <w:szCs w:val="22"/>
          <w:lang w:val="en-US"/>
        </w:rPr>
      </w:pPr>
    </w:p>
    <w:p w14:paraId="6D5A962A" w14:textId="77777777" w:rsidR="00824E79" w:rsidRPr="00824E79" w:rsidRDefault="00824E79" w:rsidP="00824E79">
      <w:pPr>
        <w:pBdr>
          <w:top w:val="nil"/>
          <w:left w:val="nil"/>
          <w:bottom w:val="nil"/>
          <w:right w:val="nil"/>
          <w:between w:val="nil"/>
        </w:pBdr>
        <w:spacing w:after="120"/>
        <w:jc w:val="both"/>
        <w:rPr>
          <w:rFonts w:ascii="Arial" w:eastAsia="Arial" w:hAnsi="Arial" w:cs="Arial"/>
          <w:color w:val="000000"/>
          <w:sz w:val="22"/>
          <w:szCs w:val="22"/>
          <w:lang w:val="en-US"/>
        </w:rPr>
      </w:pPr>
      <w:r w:rsidRPr="00824E79">
        <w:rPr>
          <w:rFonts w:ascii="Arial" w:eastAsia="Arial" w:hAnsi="Arial" w:cs="Arial"/>
          <w:b/>
          <w:color w:val="000000"/>
          <w:sz w:val="22"/>
          <w:szCs w:val="22"/>
          <w:lang w:val="en-US"/>
        </w:rPr>
        <w:t>The policy brief</w:t>
      </w:r>
      <w:r w:rsidRPr="00824E79">
        <w:rPr>
          <w:rFonts w:ascii="Arial" w:eastAsia="Arial" w:hAnsi="Arial" w:cs="Arial"/>
          <w:color w:val="000000"/>
          <w:sz w:val="22"/>
          <w:szCs w:val="22"/>
          <w:lang w:val="en-US"/>
        </w:rPr>
        <w:t xml:space="preserve"> (up to 1500 words) should demonstrate the student's ability to analyze and synthesize complex information, critically assess policy implications, and communicate concise and actionable recommendations regarding counter-terrorism strategies and information warfare challenges. This assessment aligns with LOs 2 and 3. </w:t>
      </w:r>
    </w:p>
    <w:p w14:paraId="473FBA79" w14:textId="77777777" w:rsidR="00824E79" w:rsidRPr="00824E79" w:rsidRDefault="00824E79" w:rsidP="00824E79">
      <w:pPr>
        <w:widowControl w:val="0"/>
        <w:spacing w:after="120"/>
        <w:jc w:val="both"/>
        <w:outlineLvl w:val="0"/>
        <w:rPr>
          <w:rFonts w:ascii="Arial" w:eastAsia="Arial" w:hAnsi="Arial" w:cs="Arial"/>
          <w:b/>
          <w:bCs/>
          <w:color w:val="000000"/>
          <w:sz w:val="22"/>
          <w:szCs w:val="22"/>
          <w:lang w:val="en-US"/>
        </w:rPr>
      </w:pPr>
      <w:r w:rsidRPr="00824E79">
        <w:rPr>
          <w:rFonts w:ascii="Arial" w:eastAsia="Arial" w:hAnsi="Arial" w:cs="Arial"/>
          <w:bCs/>
          <w:color w:val="000000"/>
          <w:sz w:val="22"/>
          <w:szCs w:val="22"/>
          <w:lang w:val="en-US"/>
        </w:rPr>
        <w:t>Students will also be informed about the ethical considerations of AI usage in preparing their presentation and policy briefs. They may use it for tasks such as preliminary research, literature inquiry, brainstorming ideas, fact-checking, cross-referencing sources, and preparing for potential Q&amp;A sessions.</w:t>
      </w:r>
    </w:p>
    <w:p w14:paraId="72E19F7A" w14:textId="77777777" w:rsidR="00824E79" w:rsidRPr="00824E79" w:rsidRDefault="00824E79" w:rsidP="00824E79">
      <w:pPr>
        <w:pBdr>
          <w:top w:val="nil"/>
          <w:left w:val="nil"/>
          <w:bottom w:val="nil"/>
          <w:right w:val="nil"/>
          <w:between w:val="nil"/>
        </w:pBdr>
        <w:spacing w:after="120"/>
        <w:jc w:val="both"/>
        <w:rPr>
          <w:rFonts w:ascii="Arial" w:eastAsia="Arial" w:hAnsi="Arial" w:cs="Arial"/>
          <w:color w:val="000000"/>
          <w:sz w:val="22"/>
          <w:szCs w:val="22"/>
          <w:lang w:val="en-US"/>
        </w:rPr>
      </w:pPr>
      <w:r w:rsidRPr="00824E79">
        <w:rPr>
          <w:rFonts w:ascii="Arial" w:eastAsia="Arial" w:hAnsi="Arial" w:cs="Arial"/>
          <w:b/>
          <w:bCs/>
          <w:sz w:val="22"/>
          <w:szCs w:val="22"/>
          <w:lang w:val="en-US"/>
        </w:rPr>
        <w:t>T</w:t>
      </w:r>
      <w:r w:rsidRPr="00824E79">
        <w:rPr>
          <w:rFonts w:ascii="Arial" w:eastAsia="Arial" w:hAnsi="Arial" w:cs="Arial"/>
          <w:b/>
          <w:bCs/>
          <w:color w:val="000000"/>
          <w:sz w:val="22"/>
          <w:szCs w:val="22"/>
          <w:lang w:val="en-US"/>
        </w:rPr>
        <w:t>he written exam</w:t>
      </w:r>
      <w:r w:rsidRPr="00824E79">
        <w:rPr>
          <w:rFonts w:ascii="Arial" w:eastAsia="Arial" w:hAnsi="Arial" w:cs="Arial"/>
          <w:color w:val="000000"/>
          <w:sz w:val="22"/>
          <w:szCs w:val="22"/>
          <w:lang w:val="en-US"/>
        </w:rPr>
        <w:t xml:space="preserve"> (90 minutes) consists of an essay-type questions that test students' understanding key theories, concepts, and historical events. Additionally, the exam includes case study-based questions, requiring students to apply theoretical frameworks to real-world </w:t>
      </w:r>
      <w:proofErr w:type="gramStart"/>
      <w:r w:rsidRPr="00824E79">
        <w:rPr>
          <w:rFonts w:ascii="Arial" w:eastAsia="Arial" w:hAnsi="Arial" w:cs="Arial"/>
          <w:color w:val="000000"/>
          <w:sz w:val="22"/>
          <w:szCs w:val="22"/>
          <w:lang w:val="en-US"/>
        </w:rPr>
        <w:t>counter-terrorism</w:t>
      </w:r>
      <w:proofErr w:type="gramEnd"/>
      <w:r w:rsidRPr="00824E79">
        <w:rPr>
          <w:rFonts w:ascii="Arial" w:eastAsia="Arial" w:hAnsi="Arial" w:cs="Arial"/>
          <w:color w:val="000000"/>
          <w:sz w:val="22"/>
          <w:szCs w:val="22"/>
          <w:lang w:val="en-US"/>
        </w:rPr>
        <w:t xml:space="preserve"> and information warfare scenarios without using source materials. This is important, should a student, as a future analyst, be asked to make a quick assessment of relatively new events or problems, as it often happens in issues related to security. This assessment aligns with LOs 1 and 2.</w:t>
      </w:r>
    </w:p>
    <w:p w14:paraId="54AFFE42" w14:textId="77777777" w:rsidR="00824E79" w:rsidRPr="00824E79" w:rsidRDefault="00824E79" w:rsidP="00824E79">
      <w:pPr>
        <w:widowControl w:val="0"/>
        <w:shd w:val="clear" w:color="auto" w:fill="FFFFFF"/>
        <w:spacing w:after="120"/>
        <w:jc w:val="both"/>
        <w:rPr>
          <w:rFonts w:ascii="Arial" w:eastAsia="Arial" w:hAnsi="Arial" w:cs="Arial"/>
          <w:color w:val="000000"/>
          <w:sz w:val="22"/>
          <w:szCs w:val="22"/>
          <w:lang w:val="en-US"/>
        </w:rPr>
      </w:pPr>
    </w:p>
    <w:p w14:paraId="7EBA1C3D" w14:textId="77777777" w:rsidR="00824E79" w:rsidRPr="00824E79" w:rsidRDefault="00824E79" w:rsidP="00824E79">
      <w:pPr>
        <w:widowControl w:val="0"/>
        <w:spacing w:before="240" w:after="240"/>
        <w:outlineLvl w:val="0"/>
        <w:rPr>
          <w:rFonts w:ascii="Arial" w:eastAsia="Arial" w:hAnsi="Arial" w:cs="Arial"/>
          <w:b/>
          <w:bCs/>
          <w:sz w:val="32"/>
          <w:szCs w:val="36"/>
          <w:lang w:val="en-US"/>
        </w:rPr>
      </w:pPr>
      <w:r w:rsidRPr="00824E79">
        <w:rPr>
          <w:rFonts w:ascii="Arial" w:eastAsia="Arial" w:hAnsi="Arial" w:cs="Arial"/>
          <w:b/>
          <w:bCs/>
          <w:sz w:val="32"/>
          <w:szCs w:val="36"/>
          <w:lang w:val="en-US"/>
        </w:rPr>
        <w:t>Assessment criteria: what criteria will be used to assess my work on this module?</w:t>
      </w:r>
    </w:p>
    <w:p w14:paraId="44DA5070" w14:textId="77777777" w:rsidR="00824E79" w:rsidRPr="00824E79" w:rsidRDefault="00824E79" w:rsidP="00824E79">
      <w:pPr>
        <w:widowControl w:val="0"/>
        <w:pBdr>
          <w:top w:val="nil"/>
          <w:left w:val="nil"/>
          <w:bottom w:val="nil"/>
          <w:right w:val="nil"/>
          <w:between w:val="nil"/>
        </w:pBdr>
        <w:spacing w:after="120"/>
        <w:jc w:val="both"/>
        <w:rPr>
          <w:rFonts w:ascii="Arial" w:eastAsia="Arial" w:hAnsi="Arial" w:cs="Arial"/>
          <w:color w:val="000000"/>
          <w:sz w:val="22"/>
          <w:szCs w:val="22"/>
          <w:highlight w:val="white"/>
          <w:lang w:val="en-US"/>
        </w:rPr>
      </w:pPr>
      <w:r w:rsidRPr="00824E79">
        <w:rPr>
          <w:rFonts w:ascii="Arial" w:eastAsia="Arial" w:hAnsi="Arial" w:cs="Arial"/>
          <w:b/>
          <w:bCs/>
          <w:color w:val="000000"/>
          <w:sz w:val="22"/>
          <w:szCs w:val="22"/>
          <w:highlight w:val="white"/>
          <w:lang w:val="en-US"/>
        </w:rPr>
        <w:t>Presentations</w:t>
      </w:r>
      <w:r w:rsidRPr="00824E79">
        <w:rPr>
          <w:rFonts w:ascii="Arial" w:eastAsia="Arial" w:hAnsi="Arial" w:cs="Arial"/>
          <w:color w:val="000000"/>
          <w:sz w:val="22"/>
          <w:szCs w:val="22"/>
          <w:highlight w:val="white"/>
          <w:lang w:val="en-US"/>
        </w:rPr>
        <w:t xml:space="preserve"> will be evaluated individually according to the following criteria, each contributing 20% to the overall assessment: 1. Clarity of explanation, 2. Use of sources, 3. Quality of argumentation and analysis, 4. Contextual comprehension and factual accuracy, 5. Ability to answer questions.</w:t>
      </w:r>
    </w:p>
    <w:p w14:paraId="064CB155" w14:textId="77777777" w:rsidR="00824E79" w:rsidRPr="00824E79" w:rsidRDefault="00824E79" w:rsidP="00824E79">
      <w:pPr>
        <w:widowControl w:val="0"/>
        <w:spacing w:after="120"/>
        <w:jc w:val="both"/>
        <w:rPr>
          <w:rFonts w:ascii="Arial" w:eastAsia="Arial" w:hAnsi="Arial" w:cs="Arial"/>
          <w:sz w:val="22"/>
          <w:szCs w:val="22"/>
          <w:lang w:val="en-US"/>
        </w:rPr>
      </w:pPr>
      <w:r w:rsidRPr="00824E79">
        <w:rPr>
          <w:rFonts w:ascii="Arial" w:eastAsia="Arial" w:hAnsi="Arial" w:cs="Arial"/>
          <w:b/>
          <w:bCs/>
          <w:sz w:val="22"/>
          <w:szCs w:val="22"/>
          <w:lang w:val="en-US"/>
        </w:rPr>
        <w:t>Policy brie</w:t>
      </w:r>
      <w:r w:rsidRPr="00824E79">
        <w:rPr>
          <w:rFonts w:ascii="Arial" w:eastAsia="Arial" w:hAnsi="Arial" w:cs="Arial"/>
          <w:sz w:val="22"/>
          <w:szCs w:val="22"/>
          <w:lang w:val="en-US"/>
        </w:rPr>
        <w:t>fs will be evaluated according to the following criteria, each of which will be given equal weight within the evaluation process: 1. Quality of writing, 2. Use of evidence, 3. Quality of argument and analysis, 4. Context and factual issue, 5. Use of references and citations.</w:t>
      </w:r>
    </w:p>
    <w:p w14:paraId="473BB8C9" w14:textId="77777777" w:rsidR="00824E79" w:rsidRPr="00824E79" w:rsidRDefault="00824E79" w:rsidP="00824E79">
      <w:pPr>
        <w:widowControl w:val="0"/>
        <w:spacing w:after="120"/>
        <w:rPr>
          <w:rFonts w:ascii="Arial" w:eastAsia="Arial" w:hAnsi="Arial" w:cs="Arial"/>
          <w:sz w:val="22"/>
          <w:szCs w:val="22"/>
          <w:lang w:val="en-US"/>
        </w:rPr>
      </w:pPr>
      <w:r w:rsidRPr="00824E79">
        <w:rPr>
          <w:rFonts w:ascii="Arial" w:eastAsia="Arial" w:hAnsi="Arial" w:cs="Arial"/>
          <w:b/>
          <w:bCs/>
          <w:sz w:val="22"/>
          <w:szCs w:val="22"/>
          <w:lang w:val="en-US"/>
        </w:rPr>
        <w:t>Final exams</w:t>
      </w:r>
      <w:r w:rsidRPr="00824E79">
        <w:rPr>
          <w:rFonts w:ascii="Arial" w:eastAsia="Arial" w:hAnsi="Arial" w:cs="Arial"/>
          <w:sz w:val="22"/>
          <w:szCs w:val="22"/>
          <w:lang w:val="en-US"/>
        </w:rPr>
        <w:t xml:space="preserve"> will be evaluated according to the following criteria, each of which will be given equal weight within the evaluation process: 1. Quality of writing, 3. Consistency of the answers, 3. Background knowledge, 4. Clarity, 5. Critical analysis.</w:t>
      </w:r>
    </w:p>
    <w:p w14:paraId="592CC59E" w14:textId="77777777" w:rsidR="00824E79" w:rsidRPr="00824E79" w:rsidRDefault="00824E79" w:rsidP="00824E79">
      <w:pPr>
        <w:widowControl w:val="0"/>
        <w:spacing w:after="120"/>
        <w:jc w:val="both"/>
        <w:rPr>
          <w:rFonts w:ascii="Arial" w:eastAsia="Arial" w:hAnsi="Arial" w:cs="Arial"/>
          <w:sz w:val="22"/>
          <w:szCs w:val="22"/>
          <w:lang w:val="en-US"/>
        </w:rPr>
      </w:pPr>
      <w:r w:rsidRPr="00824E79">
        <w:rPr>
          <w:rFonts w:ascii="Arial" w:eastAsia="Arial" w:hAnsi="Arial" w:cs="Arial"/>
          <w:sz w:val="22"/>
          <w:szCs w:val="22"/>
          <w:lang w:val="en-US"/>
        </w:rPr>
        <w:t>The assessment(s) will examine to what extent the student has demonstrated ability to:</w:t>
      </w:r>
    </w:p>
    <w:p w14:paraId="25A62CFF" w14:textId="77777777" w:rsidR="00824E79" w:rsidRPr="00824E79" w:rsidRDefault="00824E79" w:rsidP="00824E79">
      <w:pPr>
        <w:widowControl w:val="0"/>
        <w:numPr>
          <w:ilvl w:val="0"/>
          <w:numId w:val="5"/>
        </w:numPr>
        <w:pBdr>
          <w:top w:val="nil"/>
          <w:left w:val="nil"/>
          <w:bottom w:val="nil"/>
          <w:right w:val="nil"/>
          <w:between w:val="nil"/>
        </w:pBdr>
        <w:spacing w:after="120"/>
        <w:contextualSpacing/>
        <w:jc w:val="both"/>
        <w:rPr>
          <w:rFonts w:ascii="Arial" w:eastAsia="Arial" w:hAnsi="Arial" w:cs="Arial"/>
          <w:color w:val="000000"/>
          <w:sz w:val="22"/>
          <w:szCs w:val="22"/>
          <w:highlight w:val="white"/>
          <w:lang w:val="en-US"/>
        </w:rPr>
      </w:pPr>
      <w:r w:rsidRPr="00824E79">
        <w:rPr>
          <w:rFonts w:ascii="Arial" w:eastAsia="Arial" w:hAnsi="Arial" w:cs="Arial"/>
          <w:color w:val="000000"/>
          <w:sz w:val="22"/>
          <w:szCs w:val="22"/>
          <w:highlight w:val="white"/>
          <w:lang w:val="en-US"/>
        </w:rPr>
        <w:t>Apply correctly theoretical tools to the analysis of modern terrorism.</w:t>
      </w:r>
    </w:p>
    <w:p w14:paraId="7318EA02" w14:textId="77777777" w:rsidR="00824E79" w:rsidRPr="00824E79" w:rsidRDefault="00824E79" w:rsidP="00824E79">
      <w:pPr>
        <w:widowControl w:val="0"/>
        <w:numPr>
          <w:ilvl w:val="0"/>
          <w:numId w:val="5"/>
        </w:numPr>
        <w:pBdr>
          <w:top w:val="nil"/>
          <w:left w:val="nil"/>
          <w:bottom w:val="nil"/>
          <w:right w:val="nil"/>
          <w:between w:val="nil"/>
        </w:pBdr>
        <w:spacing w:after="120"/>
        <w:contextualSpacing/>
        <w:jc w:val="both"/>
        <w:rPr>
          <w:rFonts w:ascii="Arial" w:eastAsia="Arial" w:hAnsi="Arial" w:cs="Arial"/>
          <w:color w:val="000000"/>
          <w:sz w:val="22"/>
          <w:szCs w:val="22"/>
          <w:highlight w:val="white"/>
          <w:lang w:val="en-US"/>
        </w:rPr>
      </w:pPr>
      <w:r w:rsidRPr="00824E79">
        <w:rPr>
          <w:rFonts w:ascii="Arial" w:eastAsia="Arial" w:hAnsi="Arial" w:cs="Arial"/>
          <w:color w:val="000000"/>
          <w:sz w:val="22"/>
          <w:szCs w:val="22"/>
          <w:highlight w:val="white"/>
          <w:lang w:val="en-US"/>
        </w:rPr>
        <w:t>See analogies between the past and modern terrorist activities.</w:t>
      </w:r>
    </w:p>
    <w:p w14:paraId="1DD6317C" w14:textId="77777777" w:rsidR="00824E79" w:rsidRPr="00824E79" w:rsidRDefault="00824E79" w:rsidP="00824E79">
      <w:pPr>
        <w:widowControl w:val="0"/>
        <w:numPr>
          <w:ilvl w:val="0"/>
          <w:numId w:val="5"/>
        </w:numPr>
        <w:pBdr>
          <w:top w:val="nil"/>
          <w:left w:val="nil"/>
          <w:bottom w:val="nil"/>
          <w:right w:val="nil"/>
          <w:between w:val="nil"/>
        </w:pBdr>
        <w:spacing w:after="120"/>
        <w:contextualSpacing/>
        <w:jc w:val="both"/>
        <w:rPr>
          <w:rFonts w:ascii="Arial" w:eastAsia="Arial" w:hAnsi="Arial" w:cs="Arial"/>
          <w:color w:val="000000"/>
          <w:sz w:val="22"/>
          <w:szCs w:val="22"/>
          <w:highlight w:val="white"/>
          <w:lang w:val="en-US"/>
        </w:rPr>
      </w:pPr>
      <w:r w:rsidRPr="00824E79">
        <w:rPr>
          <w:rFonts w:ascii="Arial" w:eastAsia="Arial" w:hAnsi="Arial" w:cs="Arial"/>
          <w:color w:val="000000"/>
          <w:sz w:val="22"/>
          <w:szCs w:val="22"/>
          <w:highlight w:val="white"/>
          <w:lang w:val="en-US"/>
        </w:rPr>
        <w:t>Understand the motives and objectives of perpetrators and supporters of terrorism.</w:t>
      </w:r>
    </w:p>
    <w:p w14:paraId="3D3524F5" w14:textId="77777777" w:rsidR="00824E79" w:rsidRPr="00824E79" w:rsidRDefault="00824E79" w:rsidP="00824E79">
      <w:pPr>
        <w:widowControl w:val="0"/>
        <w:numPr>
          <w:ilvl w:val="0"/>
          <w:numId w:val="5"/>
        </w:numPr>
        <w:pBdr>
          <w:top w:val="nil"/>
          <w:left w:val="nil"/>
          <w:bottom w:val="nil"/>
          <w:right w:val="nil"/>
          <w:between w:val="nil"/>
        </w:pBdr>
        <w:spacing w:after="120"/>
        <w:contextualSpacing/>
        <w:jc w:val="both"/>
        <w:rPr>
          <w:rFonts w:ascii="Arial" w:eastAsia="Arial" w:hAnsi="Arial" w:cs="Arial"/>
          <w:color w:val="000000"/>
          <w:sz w:val="22"/>
          <w:szCs w:val="22"/>
          <w:highlight w:val="white"/>
          <w:lang w:val="en-US"/>
        </w:rPr>
      </w:pPr>
      <w:r w:rsidRPr="00824E79">
        <w:rPr>
          <w:rFonts w:ascii="Arial" w:eastAsia="Arial" w:hAnsi="Arial" w:cs="Arial"/>
          <w:color w:val="000000"/>
          <w:sz w:val="22"/>
          <w:szCs w:val="22"/>
          <w:highlight w:val="white"/>
          <w:lang w:val="en-US"/>
        </w:rPr>
        <w:t xml:space="preserve">Understand how terrorists and other actors use the traditional and modern media for </w:t>
      </w:r>
      <w:r w:rsidRPr="00824E79">
        <w:rPr>
          <w:rFonts w:ascii="Arial" w:eastAsia="Arial" w:hAnsi="Arial" w:cs="Arial"/>
          <w:color w:val="000000"/>
          <w:sz w:val="22"/>
          <w:szCs w:val="22"/>
          <w:highlight w:val="white"/>
          <w:lang w:val="en-US"/>
        </w:rPr>
        <w:lastRenderedPageBreak/>
        <w:t>confrontational purposes.</w:t>
      </w:r>
    </w:p>
    <w:p w14:paraId="3AD7ACB6" w14:textId="77777777" w:rsidR="00824E79" w:rsidRPr="00824E79" w:rsidRDefault="00824E79" w:rsidP="00824E79">
      <w:pPr>
        <w:widowControl w:val="0"/>
        <w:numPr>
          <w:ilvl w:val="0"/>
          <w:numId w:val="5"/>
        </w:numPr>
        <w:pBdr>
          <w:top w:val="nil"/>
          <w:left w:val="nil"/>
          <w:bottom w:val="nil"/>
          <w:right w:val="nil"/>
          <w:between w:val="nil"/>
        </w:pBdr>
        <w:spacing w:after="120"/>
        <w:contextualSpacing/>
        <w:jc w:val="both"/>
        <w:rPr>
          <w:rFonts w:ascii="Arial" w:eastAsia="Arial" w:hAnsi="Arial" w:cs="Arial"/>
          <w:color w:val="000000"/>
          <w:sz w:val="22"/>
          <w:szCs w:val="22"/>
          <w:highlight w:val="white"/>
          <w:lang w:val="en-US"/>
        </w:rPr>
      </w:pPr>
      <w:r w:rsidRPr="00824E79">
        <w:rPr>
          <w:rFonts w:ascii="Arial" w:eastAsia="Arial" w:hAnsi="Arial" w:cs="Arial"/>
          <w:color w:val="000000"/>
          <w:sz w:val="22"/>
          <w:szCs w:val="22"/>
          <w:highlight w:val="white"/>
          <w:lang w:val="en-US"/>
        </w:rPr>
        <w:t>Propose adequate anti-terrorism methods.</w:t>
      </w:r>
    </w:p>
    <w:p w14:paraId="7F09968F" w14:textId="77777777" w:rsidR="00824E79" w:rsidRPr="00824E79" w:rsidRDefault="00824E79" w:rsidP="00824E79">
      <w:pPr>
        <w:widowControl w:val="0"/>
        <w:numPr>
          <w:ilvl w:val="0"/>
          <w:numId w:val="5"/>
        </w:numPr>
        <w:pBdr>
          <w:top w:val="nil"/>
          <w:left w:val="nil"/>
          <w:bottom w:val="nil"/>
          <w:right w:val="nil"/>
          <w:between w:val="nil"/>
        </w:pBdr>
        <w:spacing w:after="120"/>
        <w:contextualSpacing/>
        <w:jc w:val="both"/>
        <w:rPr>
          <w:rFonts w:ascii="Arial" w:eastAsia="Arial" w:hAnsi="Arial" w:cs="Arial"/>
          <w:color w:val="000000"/>
          <w:sz w:val="22"/>
          <w:szCs w:val="22"/>
          <w:highlight w:val="white"/>
          <w:lang w:val="en-US"/>
        </w:rPr>
      </w:pPr>
      <w:r w:rsidRPr="00824E79">
        <w:rPr>
          <w:rFonts w:ascii="Arial" w:eastAsia="Arial" w:hAnsi="Arial" w:cs="Arial"/>
          <w:color w:val="000000"/>
          <w:sz w:val="22"/>
          <w:szCs w:val="22"/>
          <w:highlight w:val="white"/>
          <w:lang w:val="en-US"/>
        </w:rPr>
        <w:t>Propose adequate methos of dealing with phenomena such as post-truth and political misinformation.</w:t>
      </w:r>
    </w:p>
    <w:p w14:paraId="2DE1E0FD" w14:textId="77777777" w:rsidR="00824E79" w:rsidRPr="00824E79" w:rsidRDefault="00824E79" w:rsidP="00824E79">
      <w:pPr>
        <w:widowControl w:val="0"/>
        <w:numPr>
          <w:ilvl w:val="0"/>
          <w:numId w:val="5"/>
        </w:numPr>
        <w:pBdr>
          <w:top w:val="nil"/>
          <w:left w:val="nil"/>
          <w:bottom w:val="nil"/>
          <w:right w:val="nil"/>
          <w:between w:val="nil"/>
        </w:pBdr>
        <w:spacing w:after="120"/>
        <w:contextualSpacing/>
        <w:jc w:val="both"/>
        <w:rPr>
          <w:rFonts w:ascii="Arial" w:eastAsia="Arial" w:hAnsi="Arial" w:cs="Arial"/>
          <w:color w:val="000000"/>
          <w:sz w:val="22"/>
          <w:szCs w:val="22"/>
          <w:highlight w:val="white"/>
          <w:lang w:val="en-US"/>
        </w:rPr>
      </w:pPr>
      <w:r w:rsidRPr="00824E79">
        <w:rPr>
          <w:rFonts w:ascii="Arial" w:eastAsia="Arial" w:hAnsi="Arial" w:cs="Arial"/>
          <w:color w:val="000000"/>
          <w:sz w:val="22"/>
          <w:szCs w:val="22"/>
          <w:highlight w:val="white"/>
          <w:lang w:val="en-US"/>
        </w:rPr>
        <w:t>Understand how information can be weaponized.</w:t>
      </w:r>
    </w:p>
    <w:p w14:paraId="05322D14" w14:textId="77777777" w:rsidR="00824E79" w:rsidRDefault="00824E79" w:rsidP="00824E79">
      <w:pPr>
        <w:widowControl w:val="0"/>
        <w:spacing w:before="240" w:after="240"/>
        <w:outlineLvl w:val="0"/>
        <w:rPr>
          <w:rFonts w:ascii="Arial" w:eastAsia="Arial" w:hAnsi="Arial" w:cs="Arial"/>
          <w:color w:val="000000"/>
          <w:sz w:val="22"/>
          <w:szCs w:val="22"/>
          <w:lang w:val="en-US"/>
        </w:rPr>
      </w:pPr>
    </w:p>
    <w:p w14:paraId="608C71A1" w14:textId="12E563CB" w:rsidR="00824E79" w:rsidRPr="00824E79" w:rsidRDefault="00824E79" w:rsidP="00824E79">
      <w:pPr>
        <w:widowControl w:val="0"/>
        <w:spacing w:before="240" w:after="240"/>
        <w:outlineLvl w:val="0"/>
        <w:rPr>
          <w:rFonts w:ascii="Arial" w:eastAsia="Arial" w:hAnsi="Arial" w:cs="Arial"/>
          <w:b/>
          <w:bCs/>
          <w:sz w:val="28"/>
          <w:szCs w:val="28"/>
          <w:lang w:val="en-US"/>
        </w:rPr>
      </w:pPr>
      <w:r w:rsidRPr="00824E79">
        <w:rPr>
          <w:rFonts w:ascii="Arial" w:eastAsia="Arial" w:hAnsi="Arial" w:cs="Arial"/>
          <w:b/>
          <w:bCs/>
          <w:sz w:val="28"/>
          <w:szCs w:val="28"/>
          <w:lang w:val="en-US"/>
        </w:rPr>
        <w:t>Sources</w:t>
      </w:r>
    </w:p>
    <w:p w14:paraId="06F027ED" w14:textId="77777777" w:rsidR="00824E79" w:rsidRPr="00824E79" w:rsidRDefault="00824E79" w:rsidP="00824E79">
      <w:pPr>
        <w:widowControl w:val="0"/>
        <w:numPr>
          <w:ilvl w:val="0"/>
          <w:numId w:val="3"/>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Combs, C.C., 2010. Terrorism in the Twenty-First Century. 6th ed. New Jersey: Prentice Hall.</w:t>
      </w:r>
    </w:p>
    <w:p w14:paraId="46385AEE" w14:textId="77777777" w:rsidR="00824E79" w:rsidRPr="00824E79" w:rsidRDefault="00824E79" w:rsidP="00824E79">
      <w:pPr>
        <w:widowControl w:val="0"/>
        <w:numPr>
          <w:ilvl w:val="0"/>
          <w:numId w:val="3"/>
        </w:numPr>
        <w:pBdr>
          <w:top w:val="nil"/>
          <w:left w:val="nil"/>
          <w:bottom w:val="nil"/>
          <w:right w:val="nil"/>
          <w:between w:val="nil"/>
        </w:pBdr>
        <w:spacing w:after="120"/>
        <w:contextualSpacing/>
        <w:jc w:val="both"/>
        <w:rPr>
          <w:rFonts w:ascii="Arial" w:eastAsia="Arial" w:hAnsi="Arial" w:cs="Arial"/>
          <w:color w:val="000000"/>
          <w:sz w:val="22"/>
          <w:szCs w:val="22"/>
          <w:lang w:val="en-US"/>
        </w:rPr>
      </w:pPr>
      <w:proofErr w:type="spellStart"/>
      <w:r w:rsidRPr="00824E79">
        <w:rPr>
          <w:rFonts w:ascii="Arial" w:eastAsia="Arial" w:hAnsi="Arial" w:cs="Arial"/>
          <w:color w:val="000000"/>
          <w:sz w:val="22"/>
          <w:szCs w:val="22"/>
          <w:lang w:val="en-US"/>
        </w:rPr>
        <w:t>Juergensmeyer</w:t>
      </w:r>
      <w:proofErr w:type="spellEnd"/>
      <w:r w:rsidRPr="00824E79">
        <w:rPr>
          <w:rFonts w:ascii="Arial" w:eastAsia="Arial" w:hAnsi="Arial" w:cs="Arial"/>
          <w:color w:val="000000"/>
          <w:sz w:val="22"/>
          <w:szCs w:val="22"/>
          <w:lang w:val="en-US"/>
        </w:rPr>
        <w:t>, M. 2003.  Terror in the Mind of God: The Global Rise of Religious Violence. University of California Press.</w:t>
      </w:r>
    </w:p>
    <w:p w14:paraId="7B054043" w14:textId="77777777" w:rsidR="00824E79" w:rsidRPr="00824E79" w:rsidRDefault="00824E79" w:rsidP="00824E79">
      <w:pPr>
        <w:widowControl w:val="0"/>
        <w:numPr>
          <w:ilvl w:val="0"/>
          <w:numId w:val="3"/>
        </w:numPr>
        <w:pBdr>
          <w:top w:val="nil"/>
          <w:left w:val="nil"/>
          <w:bottom w:val="nil"/>
          <w:right w:val="nil"/>
          <w:between w:val="nil"/>
        </w:pBdr>
        <w:spacing w:after="120"/>
        <w:contextualSpacing/>
        <w:jc w:val="both"/>
        <w:rPr>
          <w:rFonts w:ascii="Arial" w:eastAsia="Arial" w:hAnsi="Arial" w:cs="Arial"/>
          <w:color w:val="000000"/>
          <w:sz w:val="22"/>
          <w:szCs w:val="22"/>
          <w:lang w:val="en-US"/>
        </w:rPr>
      </w:pPr>
      <w:proofErr w:type="spellStart"/>
      <w:r w:rsidRPr="00824E79">
        <w:rPr>
          <w:rFonts w:ascii="Arial" w:eastAsia="Arial" w:hAnsi="Arial" w:cs="Arial"/>
          <w:color w:val="000000"/>
          <w:sz w:val="22"/>
          <w:szCs w:val="22"/>
          <w:lang w:val="en-US"/>
        </w:rPr>
        <w:t>Nacos</w:t>
      </w:r>
      <w:proofErr w:type="spellEnd"/>
      <w:r w:rsidRPr="00824E79">
        <w:rPr>
          <w:rFonts w:ascii="Arial" w:eastAsia="Arial" w:hAnsi="Arial" w:cs="Arial"/>
          <w:color w:val="000000"/>
          <w:sz w:val="22"/>
          <w:szCs w:val="22"/>
          <w:lang w:val="en-US"/>
        </w:rPr>
        <w:t>, B.L., 2016. Mass Mediated Terrorism: mainstream and digital media in terrorism and counterterrorism. Lanham: Rowman and Littlefield.</w:t>
      </w:r>
    </w:p>
    <w:p w14:paraId="137F4872" w14:textId="77777777" w:rsidR="00824E79" w:rsidRPr="00824E79" w:rsidRDefault="00824E79" w:rsidP="00824E79">
      <w:pPr>
        <w:widowControl w:val="0"/>
        <w:numPr>
          <w:ilvl w:val="0"/>
          <w:numId w:val="3"/>
        </w:numPr>
        <w:pBdr>
          <w:top w:val="nil"/>
          <w:left w:val="nil"/>
          <w:bottom w:val="nil"/>
          <w:right w:val="nil"/>
          <w:between w:val="nil"/>
        </w:pBdr>
        <w:spacing w:after="120"/>
        <w:contextualSpacing/>
        <w:jc w:val="both"/>
        <w:rPr>
          <w:rFonts w:ascii="Arial" w:eastAsia="Arial" w:hAnsi="Arial" w:cs="Arial"/>
          <w:i/>
          <w:color w:val="000000"/>
          <w:sz w:val="22"/>
          <w:szCs w:val="22"/>
          <w:lang w:val="en-US"/>
        </w:rPr>
      </w:pPr>
      <w:r w:rsidRPr="00824E79">
        <w:rPr>
          <w:rFonts w:ascii="Arial" w:eastAsia="Arial" w:hAnsi="Arial" w:cs="Arial"/>
          <w:color w:val="000000"/>
          <w:sz w:val="22"/>
          <w:szCs w:val="22"/>
          <w:lang w:val="en-US"/>
        </w:rPr>
        <w:t xml:space="preserve">Winkler, C., </w:t>
      </w:r>
      <w:proofErr w:type="spellStart"/>
      <w:r w:rsidRPr="00824E79">
        <w:rPr>
          <w:rFonts w:ascii="Arial" w:eastAsia="Arial" w:hAnsi="Arial" w:cs="Arial"/>
          <w:color w:val="000000"/>
          <w:sz w:val="22"/>
          <w:szCs w:val="22"/>
          <w:lang w:val="en-US"/>
        </w:rPr>
        <w:t>Damanhoury</w:t>
      </w:r>
      <w:proofErr w:type="spellEnd"/>
      <w:r w:rsidRPr="00824E79">
        <w:rPr>
          <w:rFonts w:ascii="Arial" w:eastAsia="Arial" w:hAnsi="Arial" w:cs="Arial"/>
          <w:color w:val="000000"/>
          <w:sz w:val="22"/>
          <w:szCs w:val="22"/>
          <w:lang w:val="en-US"/>
        </w:rPr>
        <w:t xml:space="preserve">, K. 2022. </w:t>
      </w:r>
      <w:r w:rsidRPr="00824E79">
        <w:rPr>
          <w:rFonts w:ascii="Arial" w:eastAsia="Arial" w:hAnsi="Arial" w:cs="Arial"/>
          <w:i/>
          <w:color w:val="000000"/>
          <w:sz w:val="22"/>
          <w:szCs w:val="22"/>
          <w:lang w:val="en-US"/>
        </w:rPr>
        <w:t xml:space="preserve">Proto-state Media Systems </w:t>
      </w:r>
      <w:proofErr w:type="gramStart"/>
      <w:r w:rsidRPr="00824E79">
        <w:rPr>
          <w:rFonts w:ascii="Arial" w:eastAsia="Arial" w:hAnsi="Arial" w:cs="Arial"/>
          <w:i/>
          <w:color w:val="000000"/>
          <w:sz w:val="22"/>
          <w:szCs w:val="22"/>
          <w:lang w:val="en-US"/>
        </w:rPr>
        <w:t>The</w:t>
      </w:r>
      <w:proofErr w:type="gramEnd"/>
      <w:r w:rsidRPr="00824E79">
        <w:rPr>
          <w:rFonts w:ascii="Arial" w:eastAsia="Arial" w:hAnsi="Arial" w:cs="Arial"/>
          <w:i/>
          <w:color w:val="000000"/>
          <w:sz w:val="22"/>
          <w:szCs w:val="22"/>
          <w:lang w:val="en-US"/>
        </w:rPr>
        <w:t xml:space="preserve"> Digital Rise of Al-Qaeda and ISIS, </w:t>
      </w:r>
      <w:r w:rsidRPr="00824E79">
        <w:rPr>
          <w:rFonts w:ascii="Arial" w:eastAsia="Arial" w:hAnsi="Arial" w:cs="Arial"/>
          <w:color w:val="000000"/>
          <w:sz w:val="22"/>
          <w:szCs w:val="22"/>
          <w:lang w:val="en-US"/>
        </w:rPr>
        <w:t>Oxford University Press.</w:t>
      </w:r>
    </w:p>
    <w:p w14:paraId="150B0BDE" w14:textId="77777777" w:rsidR="00824E79" w:rsidRPr="00824E79" w:rsidRDefault="00824E79" w:rsidP="00824E79">
      <w:pPr>
        <w:widowControl w:val="0"/>
        <w:spacing w:before="240" w:after="240"/>
        <w:outlineLvl w:val="0"/>
        <w:rPr>
          <w:rFonts w:ascii="Arial" w:eastAsia="Arial" w:hAnsi="Arial" w:cs="Arial"/>
          <w:b/>
          <w:bCs/>
          <w:sz w:val="22"/>
          <w:szCs w:val="22"/>
          <w:lang w:val="en-US"/>
        </w:rPr>
      </w:pPr>
      <w:r w:rsidRPr="00824E79">
        <w:rPr>
          <w:rFonts w:ascii="Arial" w:eastAsia="Arial" w:hAnsi="Arial" w:cs="Arial"/>
          <w:b/>
          <w:bCs/>
          <w:sz w:val="22"/>
          <w:szCs w:val="22"/>
          <w:lang w:val="en-US"/>
        </w:rPr>
        <w:t>Recommended Reading List:</w:t>
      </w:r>
    </w:p>
    <w:p w14:paraId="63D2FDF1"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Allison, G., 2006. Nuclear Terrorism. The National Interest, 83, pp.63-65.</w:t>
      </w:r>
    </w:p>
    <w:p w14:paraId="3064EC88"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Chaliand, G., Blin, A., 2007. The History of Terrorism: From Antiquity to ISIS. Berkeley: University of California Press.</w:t>
      </w:r>
    </w:p>
    <w:p w14:paraId="2AD2D90D"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Hoffman, B., 2006. Inside Terrorism. New York: Columbia University.</w:t>
      </w:r>
    </w:p>
    <w:p w14:paraId="75DD91AD"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Howard, R.D., Sawyer, R.L., 2008. Terrorism and Counterterrorism. Understanding the New Security Environment. Dushkin/McGraw-Hill.</w:t>
      </w:r>
    </w:p>
    <w:p w14:paraId="502A7E67"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 xml:space="preserve">Kruglova, A. 2022. Terrorist Recruitment, Propaganda and Branding. Selling Terror Online, </w:t>
      </w:r>
      <w:proofErr w:type="spellStart"/>
      <w:r w:rsidRPr="00824E79">
        <w:rPr>
          <w:rFonts w:ascii="Arial" w:eastAsia="Arial" w:hAnsi="Arial" w:cs="Arial"/>
          <w:color w:val="000000"/>
          <w:sz w:val="22"/>
          <w:szCs w:val="22"/>
          <w:lang w:val="en-US"/>
        </w:rPr>
        <w:t>Taylor&amp;Francis</w:t>
      </w:r>
      <w:proofErr w:type="spellEnd"/>
      <w:r w:rsidRPr="00824E79">
        <w:rPr>
          <w:rFonts w:ascii="Arial" w:eastAsia="Arial" w:hAnsi="Arial" w:cs="Arial"/>
          <w:color w:val="000000"/>
          <w:sz w:val="22"/>
          <w:szCs w:val="22"/>
          <w:lang w:val="en-US"/>
        </w:rPr>
        <w:t>.</w:t>
      </w:r>
    </w:p>
    <w:p w14:paraId="0940061F"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highlight w:val="white"/>
          <w:lang w:val="en-US"/>
        </w:rPr>
        <w:t xml:space="preserve">Lacquer, W.  2001. </w:t>
      </w:r>
      <w:r w:rsidRPr="00824E79">
        <w:rPr>
          <w:rFonts w:ascii="Arial" w:eastAsia="Arial" w:hAnsi="Arial" w:cs="Arial"/>
          <w:i/>
          <w:color w:val="000000"/>
          <w:sz w:val="22"/>
          <w:szCs w:val="22"/>
          <w:highlight w:val="white"/>
          <w:lang w:val="en-US"/>
        </w:rPr>
        <w:t>A History of Terrorism</w:t>
      </w:r>
      <w:r w:rsidRPr="00824E79">
        <w:rPr>
          <w:rFonts w:ascii="Arial" w:eastAsia="Arial" w:hAnsi="Arial" w:cs="Arial"/>
          <w:color w:val="000000"/>
          <w:sz w:val="22"/>
          <w:szCs w:val="22"/>
          <w:highlight w:val="white"/>
          <w:lang w:val="en-US"/>
        </w:rPr>
        <w:t xml:space="preserve">, Transaction </w:t>
      </w:r>
      <w:proofErr w:type="gramStart"/>
      <w:r w:rsidRPr="00824E79">
        <w:rPr>
          <w:rFonts w:ascii="Arial" w:eastAsia="Arial" w:hAnsi="Arial" w:cs="Arial"/>
          <w:color w:val="000000"/>
          <w:sz w:val="22"/>
          <w:szCs w:val="22"/>
          <w:highlight w:val="white"/>
          <w:lang w:val="en-US"/>
        </w:rPr>
        <w:t>Publishers,  New</w:t>
      </w:r>
      <w:proofErr w:type="gramEnd"/>
      <w:r w:rsidRPr="00824E79">
        <w:rPr>
          <w:rFonts w:ascii="Arial" w:eastAsia="Arial" w:hAnsi="Arial" w:cs="Arial"/>
          <w:color w:val="000000"/>
          <w:sz w:val="22"/>
          <w:szCs w:val="22"/>
          <w:highlight w:val="white"/>
          <w:lang w:val="en-US"/>
        </w:rPr>
        <w:t xml:space="preserve"> Brunswick 2001.</w:t>
      </w:r>
    </w:p>
    <w:p w14:paraId="7837786C"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proofErr w:type="spellStart"/>
      <w:r w:rsidRPr="00824E79">
        <w:rPr>
          <w:rFonts w:ascii="Arial" w:eastAsia="Arial" w:hAnsi="Arial" w:cs="Arial"/>
          <w:color w:val="000000"/>
          <w:sz w:val="22"/>
          <w:szCs w:val="22"/>
          <w:lang w:val="en-US"/>
        </w:rPr>
        <w:t>Matusitz</w:t>
      </w:r>
      <w:proofErr w:type="spellEnd"/>
      <w:r w:rsidRPr="00824E79">
        <w:rPr>
          <w:rFonts w:ascii="Arial" w:eastAsia="Arial" w:hAnsi="Arial" w:cs="Arial"/>
          <w:color w:val="000000"/>
          <w:sz w:val="22"/>
          <w:szCs w:val="22"/>
          <w:lang w:val="en-US"/>
        </w:rPr>
        <w:t xml:space="preserve">, J., 2015. Symbolism in Terrorism. Lanham: Rowman and </w:t>
      </w:r>
      <w:proofErr w:type="spellStart"/>
      <w:r w:rsidRPr="00824E79">
        <w:rPr>
          <w:rFonts w:ascii="Arial" w:eastAsia="Arial" w:hAnsi="Arial" w:cs="Arial"/>
          <w:color w:val="000000"/>
          <w:sz w:val="22"/>
          <w:szCs w:val="22"/>
          <w:lang w:val="en-US"/>
        </w:rPr>
        <w:t>Littlefied</w:t>
      </w:r>
      <w:proofErr w:type="spellEnd"/>
      <w:r w:rsidRPr="00824E79">
        <w:rPr>
          <w:rFonts w:ascii="Arial" w:eastAsia="Arial" w:hAnsi="Arial" w:cs="Arial"/>
          <w:color w:val="000000"/>
          <w:sz w:val="22"/>
          <w:szCs w:val="22"/>
          <w:lang w:val="en-US"/>
        </w:rPr>
        <w:t>.</w:t>
      </w:r>
    </w:p>
    <w:p w14:paraId="0313CB0A" w14:textId="77777777" w:rsidR="00824E79" w:rsidRPr="00824E79" w:rsidRDefault="00824E79" w:rsidP="00824E79">
      <w:pPr>
        <w:widowControl w:val="0"/>
        <w:numPr>
          <w:ilvl w:val="0"/>
          <w:numId w:val="4"/>
        </w:numPr>
        <w:pBdr>
          <w:top w:val="nil"/>
          <w:left w:val="nil"/>
          <w:bottom w:val="nil"/>
          <w:right w:val="nil"/>
          <w:between w:val="nil"/>
        </w:pBdr>
        <w:spacing w:after="120"/>
        <w:contextualSpacing/>
        <w:jc w:val="both"/>
        <w:rPr>
          <w:rFonts w:ascii="Arial" w:eastAsia="Arial" w:hAnsi="Arial" w:cs="Arial"/>
          <w:color w:val="000000"/>
          <w:sz w:val="22"/>
          <w:szCs w:val="22"/>
          <w:lang w:val="en-US"/>
        </w:rPr>
      </w:pPr>
      <w:r w:rsidRPr="00824E79">
        <w:rPr>
          <w:rFonts w:ascii="Arial" w:eastAsia="Arial" w:hAnsi="Arial" w:cs="Arial"/>
          <w:color w:val="000000"/>
          <w:sz w:val="22"/>
          <w:szCs w:val="22"/>
          <w:lang w:val="en-US"/>
        </w:rPr>
        <w:t xml:space="preserve">Norris, P., Montague, K., Just, M. 2004. </w:t>
      </w:r>
      <w:r w:rsidRPr="00824E79">
        <w:rPr>
          <w:rFonts w:ascii="Arial" w:eastAsia="Arial" w:hAnsi="Arial" w:cs="Arial"/>
          <w:i/>
          <w:color w:val="000000"/>
          <w:sz w:val="22"/>
          <w:szCs w:val="22"/>
          <w:lang w:val="en-US"/>
        </w:rPr>
        <w:t>Framing Terrorism. The News Media, the Government and the Public</w:t>
      </w:r>
      <w:r w:rsidRPr="00824E79">
        <w:rPr>
          <w:rFonts w:ascii="Arial" w:eastAsia="Arial" w:hAnsi="Arial" w:cs="Arial"/>
          <w:color w:val="000000"/>
          <w:sz w:val="22"/>
          <w:szCs w:val="22"/>
          <w:lang w:val="en-US"/>
        </w:rPr>
        <w:t>, Routledge.</w:t>
      </w:r>
    </w:p>
    <w:p w14:paraId="01B9D068" w14:textId="77777777" w:rsidR="00BC319D" w:rsidRDefault="00BC319D"/>
    <w:sectPr w:rsidR="00BC319D" w:rsidSect="00824E79">
      <w:headerReference w:type="first" r:id="rId7"/>
      <w:pgSz w:w="11900"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2D46" w14:textId="77777777" w:rsidR="00543BBD" w:rsidRDefault="00543BBD" w:rsidP="00824E79">
      <w:r>
        <w:separator/>
      </w:r>
    </w:p>
  </w:endnote>
  <w:endnote w:type="continuationSeparator" w:id="0">
    <w:p w14:paraId="41850E64" w14:textId="77777777" w:rsidR="00543BBD" w:rsidRDefault="00543BBD" w:rsidP="0082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C732" w14:textId="77777777" w:rsidR="00543BBD" w:rsidRDefault="00543BBD" w:rsidP="00824E79">
      <w:r>
        <w:separator/>
      </w:r>
    </w:p>
  </w:footnote>
  <w:footnote w:type="continuationSeparator" w:id="0">
    <w:p w14:paraId="3D52B3BF" w14:textId="77777777" w:rsidR="00543BBD" w:rsidRDefault="00543BBD" w:rsidP="0082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DF3A" w14:textId="6C30B3BF" w:rsidR="00824E79" w:rsidRDefault="00824E7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E43"/>
    <w:multiLevelType w:val="hybridMultilevel"/>
    <w:tmpl w:val="8A5EAEE0"/>
    <w:lvl w:ilvl="0" w:tplc="5BFC331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B40A14"/>
    <w:multiLevelType w:val="multilevel"/>
    <w:tmpl w:val="2B00F29C"/>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973298"/>
    <w:multiLevelType w:val="multilevel"/>
    <w:tmpl w:val="8D3804F2"/>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6A03E6"/>
    <w:multiLevelType w:val="multilevel"/>
    <w:tmpl w:val="4DE81848"/>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0C56CA"/>
    <w:multiLevelType w:val="multilevel"/>
    <w:tmpl w:val="435EEB2A"/>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325549"/>
    <w:multiLevelType w:val="multilevel"/>
    <w:tmpl w:val="33F82A44"/>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8599154">
    <w:abstractNumId w:val="3"/>
  </w:num>
  <w:num w:numId="2" w16cid:durableId="335693761">
    <w:abstractNumId w:val="2"/>
  </w:num>
  <w:num w:numId="3" w16cid:durableId="1513451012">
    <w:abstractNumId w:val="4"/>
  </w:num>
  <w:num w:numId="4" w16cid:durableId="1591423528">
    <w:abstractNumId w:val="1"/>
  </w:num>
  <w:num w:numId="5" w16cid:durableId="623582019">
    <w:abstractNumId w:val="5"/>
  </w:num>
  <w:num w:numId="6" w16cid:durableId="13356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9"/>
    <w:rsid w:val="002F545A"/>
    <w:rsid w:val="00543BBD"/>
    <w:rsid w:val="00605D61"/>
    <w:rsid w:val="00824E79"/>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29E1E35E"/>
  <w15:chartTrackingRefBased/>
  <w15:docId w15:val="{29E55A5C-A92B-ED44-A054-14C69E5B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E79"/>
    <w:rPr>
      <w:rFonts w:eastAsiaTheme="majorEastAsia" w:cstheme="majorBidi"/>
      <w:color w:val="272727" w:themeColor="text1" w:themeTint="D8"/>
    </w:rPr>
  </w:style>
  <w:style w:type="paragraph" w:styleId="Title">
    <w:name w:val="Title"/>
    <w:basedOn w:val="Normal"/>
    <w:next w:val="Normal"/>
    <w:link w:val="TitleChar"/>
    <w:uiPriority w:val="10"/>
    <w:qFormat/>
    <w:rsid w:val="00824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E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E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E79"/>
    <w:rPr>
      <w:i/>
      <w:iCs/>
      <w:color w:val="404040" w:themeColor="text1" w:themeTint="BF"/>
    </w:rPr>
  </w:style>
  <w:style w:type="paragraph" w:styleId="ListParagraph">
    <w:name w:val="List Paragraph"/>
    <w:basedOn w:val="Normal"/>
    <w:uiPriority w:val="34"/>
    <w:qFormat/>
    <w:rsid w:val="00824E79"/>
    <w:pPr>
      <w:ind w:left="720"/>
      <w:contextualSpacing/>
    </w:pPr>
  </w:style>
  <w:style w:type="character" w:styleId="IntenseEmphasis">
    <w:name w:val="Intense Emphasis"/>
    <w:basedOn w:val="DefaultParagraphFont"/>
    <w:uiPriority w:val="21"/>
    <w:qFormat/>
    <w:rsid w:val="00824E79"/>
    <w:rPr>
      <w:i/>
      <w:iCs/>
      <w:color w:val="0F4761" w:themeColor="accent1" w:themeShade="BF"/>
    </w:rPr>
  </w:style>
  <w:style w:type="paragraph" w:styleId="IntenseQuote">
    <w:name w:val="Intense Quote"/>
    <w:basedOn w:val="Normal"/>
    <w:next w:val="Normal"/>
    <w:link w:val="IntenseQuoteChar"/>
    <w:uiPriority w:val="30"/>
    <w:qFormat/>
    <w:rsid w:val="00824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E79"/>
    <w:rPr>
      <w:i/>
      <w:iCs/>
      <w:color w:val="0F4761" w:themeColor="accent1" w:themeShade="BF"/>
    </w:rPr>
  </w:style>
  <w:style w:type="character" w:styleId="IntenseReference">
    <w:name w:val="Intense Reference"/>
    <w:basedOn w:val="DefaultParagraphFont"/>
    <w:uiPriority w:val="32"/>
    <w:qFormat/>
    <w:rsid w:val="00824E79"/>
    <w:rPr>
      <w:b/>
      <w:bCs/>
      <w:smallCaps/>
      <w:color w:val="0F4761" w:themeColor="accent1" w:themeShade="BF"/>
      <w:spacing w:val="5"/>
    </w:rPr>
  </w:style>
  <w:style w:type="table" w:customStyle="1" w:styleId="TableGridLight1">
    <w:name w:val="Table Grid Light1"/>
    <w:basedOn w:val="TableNormal"/>
    <w:next w:val="TableGridLight"/>
    <w:uiPriority w:val="40"/>
    <w:rsid w:val="00824E79"/>
    <w:pPr>
      <w:widowControl w:val="0"/>
      <w:spacing w:after="120"/>
    </w:pPr>
    <w:rPr>
      <w:rFonts w:ascii="Arial" w:eastAsia="Arial" w:hAnsi="Arial" w:cs="Arial"/>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824E79"/>
    <w:pPr>
      <w:widowControl w:val="0"/>
      <w:spacing w:after="120"/>
    </w:pPr>
    <w:rPr>
      <w:rFonts w:ascii="Arial" w:eastAsia="Arial" w:hAnsi="Arial" w:cs="Arial"/>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824E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24E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24E79"/>
    <w:pPr>
      <w:tabs>
        <w:tab w:val="center" w:pos="4513"/>
        <w:tab w:val="right" w:pos="9026"/>
      </w:tabs>
    </w:pPr>
  </w:style>
  <w:style w:type="character" w:customStyle="1" w:styleId="HeaderChar">
    <w:name w:val="Header Char"/>
    <w:basedOn w:val="DefaultParagraphFont"/>
    <w:link w:val="Header"/>
    <w:uiPriority w:val="99"/>
    <w:rsid w:val="00824E79"/>
  </w:style>
  <w:style w:type="paragraph" w:styleId="Footer">
    <w:name w:val="footer"/>
    <w:basedOn w:val="Normal"/>
    <w:link w:val="FooterChar"/>
    <w:uiPriority w:val="99"/>
    <w:unhideWhenUsed/>
    <w:rsid w:val="00824E79"/>
    <w:pPr>
      <w:tabs>
        <w:tab w:val="center" w:pos="4513"/>
        <w:tab w:val="right" w:pos="9026"/>
      </w:tabs>
    </w:pPr>
  </w:style>
  <w:style w:type="character" w:customStyle="1" w:styleId="FooterChar">
    <w:name w:val="Footer Char"/>
    <w:basedOn w:val="DefaultParagraphFont"/>
    <w:link w:val="Footer"/>
    <w:uiPriority w:val="99"/>
    <w:rsid w:val="0082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2025-08-22T13:35:00Z</dcterms:created>
  <dcterms:modified xsi:type="dcterms:W3CDTF">2025-08-22T13:36:00Z</dcterms:modified>
</cp:coreProperties>
</file>