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D40B" w14:textId="77777777" w:rsidR="00365B13" w:rsidRPr="00B12AD7" w:rsidRDefault="00365B13" w:rsidP="00365B13">
      <w:pPr>
        <w:pStyle w:val="Heading2"/>
        <w:spacing w:line="276" w:lineRule="auto"/>
        <w:jc w:val="both"/>
        <w:rPr>
          <w:rFonts w:ascii="DINCE-Regular" w:hAnsi="DINCE-Regular"/>
          <w:color w:val="404040" w:themeColor="text1" w:themeTint="BF"/>
          <w:kern w:val="36"/>
          <w:lang w:val="en-GB"/>
        </w:rPr>
      </w:pPr>
      <w:bookmarkStart w:id="0" w:name="_Toc179189738"/>
      <w:r w:rsidRPr="00B12AD7">
        <w:rPr>
          <w:rFonts w:ascii="DINCE-Regular" w:hAnsi="DINCE-Regular"/>
          <w:color w:val="404040" w:themeColor="text1" w:themeTint="BF"/>
          <w:kern w:val="36"/>
          <w:lang w:val="en-GB"/>
        </w:rPr>
        <w:t>POWER AND CONTROL – CRITICAL OVERVIEW</w:t>
      </w:r>
      <w:bookmarkEnd w:id="0"/>
    </w:p>
    <w:p w14:paraId="707EA806" w14:textId="77777777" w:rsidR="00365B13" w:rsidRPr="00B12AD7" w:rsidRDefault="00365B13" w:rsidP="00365B13">
      <w:pPr>
        <w:spacing w:line="276" w:lineRule="auto"/>
        <w:jc w:val="both"/>
        <w:rPr>
          <w:rFonts w:ascii="DINCE-Regular" w:hAnsi="DINCE-Regular"/>
          <w:color w:val="404040" w:themeColor="text1" w:themeTint="BF"/>
          <w:sz w:val="22"/>
          <w:szCs w:val="22"/>
          <w:lang w:val="en-GB" w:eastAsia="en-GB"/>
        </w:rPr>
      </w:pPr>
    </w:p>
    <w:p w14:paraId="4600DBF3"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1. MODULE SUMMARY</w:t>
      </w:r>
    </w:p>
    <w:p w14:paraId="2A02D72A"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4A053096"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The conventional accounts of power are mostly limited to the boundaries of states, law, public institutions, international organizations or political doctrines. However, they very often neglect the fact that power can be strongly embedded in other human relations, which are not always seen as a power relation precisely because they exceed the formal area of control. The module approach aims at analytical opening to a wide range of phenomena which exert today a great deal of control on human beings, while they are not always presented in terms of the power relations by the conventional political analyses. Particular attention will be paid to understanding the way people are being engaged in contemporary forms of entertainment and consumption; how they are subject to different forms of surveillance in daily life ranging from the Internet through the media to the urban space; or last but not least how their lives are being constantly framed within and disciplined by the different forms of corporate management and governance (e.g. by catchy phrases like ‘risk management’, ‘audit practices’ or ‘expert rule’ etc.). All these practices are often presented as neutral and inevitable in the ‘globalized world</w:t>
      </w:r>
      <w:proofErr w:type="gramStart"/>
      <w:r w:rsidRPr="00B12AD7">
        <w:rPr>
          <w:rFonts w:ascii="DINCE-Regular" w:hAnsi="DINCE-Regular"/>
          <w:color w:val="404040" w:themeColor="text1" w:themeTint="BF"/>
          <w:sz w:val="22"/>
          <w:szCs w:val="22"/>
          <w:lang w:val="en-GB"/>
        </w:rPr>
        <w:t>’</w:t>
      </w:r>
      <w:proofErr w:type="gramEnd"/>
      <w:r w:rsidRPr="00B12AD7">
        <w:rPr>
          <w:rFonts w:ascii="DINCE-Regular" w:hAnsi="DINCE-Regular"/>
          <w:color w:val="404040" w:themeColor="text1" w:themeTint="BF"/>
          <w:sz w:val="22"/>
          <w:szCs w:val="22"/>
          <w:lang w:val="en-GB"/>
        </w:rPr>
        <w:t xml:space="preserve"> and they are just taken for granted by political scientists in their analyses. Therefore, the module will focus on uncovering how these practices could be seen as power relations; in what way they strengthen or undermine the democratic premises of contemporary societies; and how they are being resisted by some people. It will give students a general critical overview on different contemporary forms of power and control.</w:t>
      </w:r>
    </w:p>
    <w:p w14:paraId="4425CB86"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365B13" w:rsidRPr="00B12AD7" w14:paraId="6A45A393" w14:textId="77777777" w:rsidTr="00FE71EB">
        <w:trPr>
          <w:trHeight w:val="432"/>
          <w:tblCellSpacing w:w="15" w:type="dxa"/>
        </w:trPr>
        <w:tc>
          <w:tcPr>
            <w:tcW w:w="0" w:type="auto"/>
            <w:tcMar>
              <w:top w:w="15" w:type="dxa"/>
              <w:left w:w="480" w:type="dxa"/>
              <w:bottom w:w="15" w:type="dxa"/>
              <w:right w:w="240" w:type="dxa"/>
            </w:tcMar>
            <w:vAlign w:val="center"/>
          </w:tcPr>
          <w:p w14:paraId="1E9B6E64"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ECTS credits</w:t>
            </w:r>
          </w:p>
        </w:tc>
        <w:tc>
          <w:tcPr>
            <w:tcW w:w="0" w:type="auto"/>
            <w:vAlign w:val="center"/>
          </w:tcPr>
          <w:p w14:paraId="4BE6A49B" w14:textId="77777777" w:rsidR="00365B13" w:rsidRPr="00B12AD7" w:rsidRDefault="00365B13"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5.0</w:t>
            </w:r>
          </w:p>
        </w:tc>
      </w:tr>
      <w:tr w:rsidR="00365B13" w:rsidRPr="00B12AD7" w14:paraId="6B0A17F9" w14:textId="77777777" w:rsidTr="00FE71EB">
        <w:trPr>
          <w:trHeight w:val="432"/>
          <w:tblCellSpacing w:w="15" w:type="dxa"/>
        </w:trPr>
        <w:tc>
          <w:tcPr>
            <w:tcW w:w="0" w:type="auto"/>
            <w:tcMar>
              <w:top w:w="15" w:type="dxa"/>
              <w:left w:w="480" w:type="dxa"/>
              <w:bottom w:w="15" w:type="dxa"/>
              <w:right w:w="240" w:type="dxa"/>
            </w:tcMar>
            <w:vAlign w:val="center"/>
          </w:tcPr>
          <w:p w14:paraId="0CA1335E"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1F3C6562" w14:textId="77777777" w:rsidR="00365B13" w:rsidRPr="00B12AD7" w:rsidRDefault="00365B13"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w:t>
            </w:r>
          </w:p>
        </w:tc>
      </w:tr>
      <w:tr w:rsidR="00365B13" w:rsidRPr="00B12AD7" w14:paraId="750B8A9B" w14:textId="77777777" w:rsidTr="00FE71EB">
        <w:trPr>
          <w:trHeight w:val="432"/>
          <w:tblCellSpacing w:w="15" w:type="dxa"/>
        </w:trPr>
        <w:tc>
          <w:tcPr>
            <w:tcW w:w="0" w:type="auto"/>
            <w:tcMar>
              <w:top w:w="15" w:type="dxa"/>
              <w:left w:w="480" w:type="dxa"/>
              <w:bottom w:w="15" w:type="dxa"/>
              <w:right w:w="240" w:type="dxa"/>
            </w:tcMar>
            <w:vAlign w:val="center"/>
          </w:tcPr>
          <w:p w14:paraId="7D468E36"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16CA96E5" w14:textId="77777777" w:rsidR="00365B13" w:rsidRPr="00B12AD7" w:rsidRDefault="00365B13"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365B13" w:rsidRPr="00B12AD7" w14:paraId="3206966F" w14:textId="77777777" w:rsidTr="00FE71EB">
        <w:trPr>
          <w:trHeight w:val="432"/>
          <w:tblCellSpacing w:w="15" w:type="dxa"/>
        </w:trPr>
        <w:tc>
          <w:tcPr>
            <w:tcW w:w="0" w:type="auto"/>
            <w:tcMar>
              <w:top w:w="15" w:type="dxa"/>
              <w:left w:w="480" w:type="dxa"/>
              <w:bottom w:w="15" w:type="dxa"/>
              <w:right w:w="240" w:type="dxa"/>
            </w:tcMar>
            <w:vAlign w:val="center"/>
          </w:tcPr>
          <w:p w14:paraId="56D15E15"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39133C8C" w14:textId="77777777" w:rsidR="00365B13" w:rsidRPr="00B12AD7" w:rsidRDefault="00365B13"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4E324448"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79726089"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33EE5491"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592F0EA0"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D50E2B1"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Composition of module mark (including weighting of components)</w:t>
      </w:r>
    </w:p>
    <w:p w14:paraId="2315A6F3" w14:textId="77777777" w:rsidR="00365B13" w:rsidRPr="00B12AD7" w:rsidRDefault="00365B13" w:rsidP="00365B13">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Coursework 60%, composed of paper</w:t>
      </w:r>
    </w:p>
    <w:p w14:paraId="10B27B7E" w14:textId="77777777" w:rsidR="00365B13" w:rsidRPr="00B12AD7" w:rsidRDefault="00365B13" w:rsidP="00365B13">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2A3841A1"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4B3A8173"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1E84E8F4"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lastRenderedPageBreak/>
        <w:t>Special Features</w:t>
      </w:r>
    </w:p>
    <w:p w14:paraId="6BE999C0"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BBC5508"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0316FE89"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242F6D2B"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4A7BC238"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08D6C6A6"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p>
    <w:p w14:paraId="328F7BCA"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2. TEACHING, LEARNING AND ASSESSMENT</w:t>
      </w:r>
    </w:p>
    <w:p w14:paraId="458CB1AD"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418903A7"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By the end of the course students should be able to:</w:t>
      </w:r>
    </w:p>
    <w:p w14:paraId="405DF449" w14:textId="77777777" w:rsidR="00365B13" w:rsidRPr="00B12AD7" w:rsidRDefault="00365B13" w:rsidP="00365B13">
      <w:pPr>
        <w:numPr>
          <w:ilvl w:val="0"/>
          <w:numId w:val="2"/>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an understanding of different types of power and control</w:t>
      </w:r>
    </w:p>
    <w:p w14:paraId="6F716D75" w14:textId="77777777" w:rsidR="00365B13" w:rsidRPr="00B12AD7" w:rsidRDefault="00365B13" w:rsidP="00365B13">
      <w:pPr>
        <w:numPr>
          <w:ilvl w:val="0"/>
          <w:numId w:val="2"/>
        </w:numPr>
        <w:tabs>
          <w:tab w:val="left" w:pos="720"/>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Evaluate the role of contemporary means of controlling people</w:t>
      </w:r>
    </w:p>
    <w:p w14:paraId="6D8112A5" w14:textId="77777777" w:rsidR="00365B13" w:rsidRPr="00B12AD7" w:rsidRDefault="00365B13" w:rsidP="00365B13">
      <w:pPr>
        <w:numPr>
          <w:ilvl w:val="0"/>
          <w:numId w:val="2"/>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Explain the mechanisms of power relations beyond the formal/legal area</w:t>
      </w:r>
    </w:p>
    <w:p w14:paraId="0BB5286C" w14:textId="77777777" w:rsidR="00365B13" w:rsidRPr="00B12AD7" w:rsidRDefault="00365B13" w:rsidP="00365B13">
      <w:pPr>
        <w:numPr>
          <w:ilvl w:val="0"/>
          <w:numId w:val="2"/>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Analyse the political actions conducted in the name of entertainment, consumption or management and security of people</w:t>
      </w:r>
    </w:p>
    <w:p w14:paraId="3FDC810A" w14:textId="77777777" w:rsidR="00365B13" w:rsidRPr="00B12AD7" w:rsidRDefault="00365B13" w:rsidP="00365B13">
      <w:pPr>
        <w:numPr>
          <w:ilvl w:val="0"/>
          <w:numId w:val="2"/>
        </w:numPr>
        <w:suppressAutoHyphens/>
        <w:spacing w:line="276" w:lineRule="auto"/>
        <w:jc w:val="both"/>
        <w:rPr>
          <w:rFonts w:ascii="DINCE-Regular" w:hAnsi="DINCE-Regular"/>
          <w:b/>
          <w:i/>
          <w:color w:val="404040" w:themeColor="text1" w:themeTint="BF"/>
          <w:sz w:val="22"/>
          <w:szCs w:val="22"/>
          <w:lang w:val="en-GB"/>
        </w:rPr>
      </w:pPr>
      <w:r w:rsidRPr="00B12AD7">
        <w:rPr>
          <w:rFonts w:ascii="DINCE-Regular" w:hAnsi="DINCE-Regular"/>
          <w:color w:val="404040" w:themeColor="text1" w:themeTint="BF"/>
          <w:sz w:val="22"/>
          <w:szCs w:val="22"/>
          <w:lang w:val="en-GB"/>
        </w:rPr>
        <w:t>Assess critically strands, tendencies and developments connected with contemporary forms of power and control</w:t>
      </w:r>
    </w:p>
    <w:p w14:paraId="094F3341"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Indicative Content</w:t>
      </w:r>
    </w:p>
    <w:p w14:paraId="3E6DF731"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PART I – ENTERTAINMENT AND CONSUMPTION</w:t>
      </w:r>
    </w:p>
    <w:p w14:paraId="1BB0DD95"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Public Sphere and Journalism </w:t>
      </w:r>
    </w:p>
    <w:p w14:paraId="6B315B3E"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Show Business</w:t>
      </w:r>
    </w:p>
    <w:p w14:paraId="5F86499D"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Reality show</w:t>
      </w:r>
    </w:p>
    <w:p w14:paraId="3DC3020C"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Consumption</w:t>
      </w:r>
    </w:p>
    <w:p w14:paraId="7D32636B"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PART II – MANAGING PEOPLE</w:t>
      </w:r>
    </w:p>
    <w:p w14:paraId="111CF0A4"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Disciplinary society</w:t>
      </w:r>
    </w:p>
    <w:p w14:paraId="1E48854B"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Technology</w:t>
      </w:r>
    </w:p>
    <w:p w14:paraId="5F2E4D2F"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Expert rule</w:t>
      </w:r>
    </w:p>
    <w:p w14:paraId="0E53F418"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Audit management</w:t>
      </w:r>
    </w:p>
    <w:p w14:paraId="45C80566"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PART III – FREEDOM VS. SECURITY</w:t>
      </w:r>
    </w:p>
    <w:p w14:paraId="2583FB3D"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Risk society</w:t>
      </w:r>
    </w:p>
    <w:p w14:paraId="534A1D30"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Surveillance practices</w:t>
      </w:r>
    </w:p>
    <w:p w14:paraId="5D4EA5F5" w14:textId="77777777" w:rsidR="00365B13" w:rsidRPr="00B12AD7" w:rsidRDefault="00365B13" w:rsidP="00365B13">
      <w:pPr>
        <w:numPr>
          <w:ilvl w:val="0"/>
          <w:numId w:val="1"/>
        </w:numPr>
        <w:tabs>
          <w:tab w:val="clear" w:pos="720"/>
          <w:tab w:val="num" w:pos="0"/>
          <w:tab w:val="left" w:pos="708"/>
        </w:tabs>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Urban control</w:t>
      </w:r>
    </w:p>
    <w:p w14:paraId="2D419AF2"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Teaching and Learning</w:t>
      </w:r>
    </w:p>
    <w:p w14:paraId="48E201D1"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This module will be taught by means of seminars, workshops, and self-directed study.</w:t>
      </w:r>
    </w:p>
    <w:p w14:paraId="216C88D8"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5BCA78BF"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365B13" w:rsidRPr="00B12AD7" w14:paraId="04E4D0DF" w14:textId="77777777" w:rsidTr="00FE71EB">
        <w:trPr>
          <w:trHeight w:val="432"/>
          <w:tblCellSpacing w:w="15" w:type="dxa"/>
        </w:trPr>
        <w:tc>
          <w:tcPr>
            <w:tcW w:w="0" w:type="auto"/>
            <w:tcMar>
              <w:top w:w="15" w:type="dxa"/>
              <w:left w:w="480" w:type="dxa"/>
              <w:bottom w:w="15" w:type="dxa"/>
              <w:right w:w="240" w:type="dxa"/>
            </w:tcMar>
            <w:vAlign w:val="center"/>
            <w:hideMark/>
          </w:tcPr>
          <w:p w14:paraId="01870CA9"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Guided</w:t>
            </w:r>
          </w:p>
        </w:tc>
        <w:tc>
          <w:tcPr>
            <w:tcW w:w="0" w:type="auto"/>
            <w:vAlign w:val="center"/>
            <w:hideMark/>
          </w:tcPr>
          <w:p w14:paraId="34FD57A2"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0 hours</w:t>
            </w:r>
          </w:p>
        </w:tc>
        <w:tc>
          <w:tcPr>
            <w:tcW w:w="0" w:type="auto"/>
            <w:vAlign w:val="center"/>
            <w:hideMark/>
          </w:tcPr>
          <w:p w14:paraId="7617AA15"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(0%)</w:t>
            </w:r>
          </w:p>
        </w:tc>
      </w:tr>
      <w:tr w:rsidR="00365B13" w:rsidRPr="00B12AD7" w14:paraId="646443E4" w14:textId="77777777" w:rsidTr="00FE71EB">
        <w:trPr>
          <w:trHeight w:val="432"/>
          <w:tblCellSpacing w:w="15" w:type="dxa"/>
        </w:trPr>
        <w:tc>
          <w:tcPr>
            <w:tcW w:w="0" w:type="auto"/>
            <w:tcMar>
              <w:top w:w="15" w:type="dxa"/>
              <w:left w:w="480" w:type="dxa"/>
              <w:bottom w:w="15" w:type="dxa"/>
              <w:right w:w="240" w:type="dxa"/>
            </w:tcMar>
            <w:vAlign w:val="center"/>
            <w:hideMark/>
          </w:tcPr>
          <w:p w14:paraId="592D9FA7"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Lecture</w:t>
            </w:r>
          </w:p>
        </w:tc>
        <w:tc>
          <w:tcPr>
            <w:tcW w:w="0" w:type="auto"/>
            <w:vAlign w:val="center"/>
            <w:hideMark/>
          </w:tcPr>
          <w:p w14:paraId="46529CB0"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0 hours</w:t>
            </w:r>
          </w:p>
        </w:tc>
        <w:tc>
          <w:tcPr>
            <w:tcW w:w="0" w:type="auto"/>
            <w:vAlign w:val="center"/>
            <w:hideMark/>
          </w:tcPr>
          <w:p w14:paraId="6A51EFAA"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(0%)</w:t>
            </w:r>
          </w:p>
        </w:tc>
      </w:tr>
      <w:tr w:rsidR="00365B13" w:rsidRPr="00B12AD7" w14:paraId="78E851E2" w14:textId="77777777" w:rsidTr="00FE71EB">
        <w:trPr>
          <w:trHeight w:val="432"/>
          <w:tblCellSpacing w:w="15" w:type="dxa"/>
        </w:trPr>
        <w:tc>
          <w:tcPr>
            <w:tcW w:w="0" w:type="auto"/>
            <w:tcMar>
              <w:top w:w="15" w:type="dxa"/>
              <w:left w:w="480" w:type="dxa"/>
              <w:bottom w:w="15" w:type="dxa"/>
              <w:right w:w="240" w:type="dxa"/>
            </w:tcMar>
            <w:vAlign w:val="center"/>
            <w:hideMark/>
          </w:tcPr>
          <w:p w14:paraId="758D7AAF"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Self-guided</w:t>
            </w:r>
          </w:p>
        </w:tc>
        <w:tc>
          <w:tcPr>
            <w:tcW w:w="0" w:type="auto"/>
            <w:vAlign w:val="center"/>
            <w:hideMark/>
          </w:tcPr>
          <w:p w14:paraId="4FA88B40"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60 hours</w:t>
            </w:r>
          </w:p>
        </w:tc>
        <w:tc>
          <w:tcPr>
            <w:tcW w:w="0" w:type="auto"/>
            <w:vAlign w:val="center"/>
            <w:hideMark/>
          </w:tcPr>
          <w:p w14:paraId="0FF303E0"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(60%)</w:t>
            </w:r>
          </w:p>
        </w:tc>
      </w:tr>
      <w:tr w:rsidR="00365B13" w:rsidRPr="00B12AD7" w14:paraId="27F2877E" w14:textId="77777777" w:rsidTr="00FE71EB">
        <w:trPr>
          <w:trHeight w:val="432"/>
          <w:tblCellSpacing w:w="15" w:type="dxa"/>
        </w:trPr>
        <w:tc>
          <w:tcPr>
            <w:tcW w:w="0" w:type="auto"/>
            <w:tcMar>
              <w:top w:w="15" w:type="dxa"/>
              <w:left w:w="480" w:type="dxa"/>
              <w:bottom w:w="15" w:type="dxa"/>
              <w:right w:w="240" w:type="dxa"/>
            </w:tcMar>
            <w:vAlign w:val="center"/>
            <w:hideMark/>
          </w:tcPr>
          <w:p w14:paraId="039A3D12"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lastRenderedPageBreak/>
              <w:t>Seminar</w:t>
            </w:r>
          </w:p>
        </w:tc>
        <w:tc>
          <w:tcPr>
            <w:tcW w:w="0" w:type="auto"/>
            <w:vAlign w:val="center"/>
            <w:hideMark/>
          </w:tcPr>
          <w:p w14:paraId="4F2599A7"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30 hours</w:t>
            </w:r>
          </w:p>
        </w:tc>
        <w:tc>
          <w:tcPr>
            <w:tcW w:w="0" w:type="auto"/>
            <w:vAlign w:val="center"/>
            <w:hideMark/>
          </w:tcPr>
          <w:p w14:paraId="70848BC2"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(30%)</w:t>
            </w:r>
          </w:p>
        </w:tc>
      </w:tr>
      <w:tr w:rsidR="00365B13" w:rsidRPr="00B12AD7" w14:paraId="309425C6" w14:textId="77777777" w:rsidTr="00FE71EB">
        <w:trPr>
          <w:trHeight w:val="432"/>
          <w:tblCellSpacing w:w="15" w:type="dxa"/>
        </w:trPr>
        <w:tc>
          <w:tcPr>
            <w:tcW w:w="0" w:type="auto"/>
            <w:tcMar>
              <w:top w:w="15" w:type="dxa"/>
              <w:left w:w="480" w:type="dxa"/>
              <w:bottom w:w="15" w:type="dxa"/>
              <w:right w:w="240" w:type="dxa"/>
            </w:tcMar>
            <w:vAlign w:val="center"/>
            <w:hideMark/>
          </w:tcPr>
          <w:p w14:paraId="1E44A38C"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Workshop</w:t>
            </w:r>
          </w:p>
        </w:tc>
        <w:tc>
          <w:tcPr>
            <w:tcW w:w="0" w:type="auto"/>
            <w:vAlign w:val="center"/>
            <w:hideMark/>
          </w:tcPr>
          <w:p w14:paraId="4A43033B"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10 hours</w:t>
            </w:r>
          </w:p>
        </w:tc>
        <w:tc>
          <w:tcPr>
            <w:tcW w:w="0" w:type="auto"/>
            <w:vAlign w:val="center"/>
            <w:hideMark/>
          </w:tcPr>
          <w:p w14:paraId="07DFD251"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(10%)</w:t>
            </w:r>
          </w:p>
        </w:tc>
      </w:tr>
      <w:tr w:rsidR="00365B13" w:rsidRPr="00B12AD7" w14:paraId="49B6CB46" w14:textId="77777777" w:rsidTr="00FE71EB">
        <w:trPr>
          <w:trHeight w:val="432"/>
          <w:tblCellSpacing w:w="15" w:type="dxa"/>
        </w:trPr>
        <w:tc>
          <w:tcPr>
            <w:tcW w:w="0" w:type="auto"/>
            <w:tcMar>
              <w:top w:w="15" w:type="dxa"/>
              <w:left w:w="480" w:type="dxa"/>
              <w:bottom w:w="15" w:type="dxa"/>
              <w:right w:w="240" w:type="dxa"/>
            </w:tcMar>
            <w:vAlign w:val="center"/>
            <w:hideMark/>
          </w:tcPr>
          <w:p w14:paraId="3E79E72F" w14:textId="77777777" w:rsidR="00365B13" w:rsidRPr="00B12AD7" w:rsidRDefault="00365B13"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Total</w:t>
            </w:r>
          </w:p>
        </w:tc>
        <w:tc>
          <w:tcPr>
            <w:tcW w:w="0" w:type="auto"/>
            <w:vAlign w:val="center"/>
            <w:hideMark/>
          </w:tcPr>
          <w:p w14:paraId="65A6D023"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100 hours</w:t>
            </w:r>
          </w:p>
        </w:tc>
        <w:tc>
          <w:tcPr>
            <w:tcW w:w="0" w:type="auto"/>
            <w:vAlign w:val="center"/>
            <w:hideMark/>
          </w:tcPr>
          <w:p w14:paraId="4B8BB54B" w14:textId="77777777" w:rsidR="00365B13" w:rsidRPr="00B12AD7" w:rsidRDefault="00365B13"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w:t>
            </w:r>
          </w:p>
        </w:tc>
      </w:tr>
    </w:tbl>
    <w:p w14:paraId="04A10BC8"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Method </w:t>
      </w:r>
      <w:r w:rsidRPr="00B12AD7">
        <w:rPr>
          <w:rFonts w:ascii="DINCE-Regular" w:hAnsi="DINCE-Regular"/>
          <w:b/>
          <w:bCs/>
          <w:color w:val="404040" w:themeColor="text1" w:themeTint="BF"/>
          <w:sz w:val="22"/>
          <w:szCs w:val="22"/>
          <w:lang w:val="en-GB" w:eastAsia="en-GB"/>
        </w:rPr>
        <w:t>of</w:t>
      </w:r>
      <w:r w:rsidRPr="00B12AD7">
        <w:rPr>
          <w:rFonts w:ascii="DINCE-Regular" w:hAnsi="DINCE-Regular"/>
          <w:b/>
          <w:color w:val="404040" w:themeColor="text1" w:themeTint="BF"/>
          <w:sz w:val="22"/>
          <w:szCs w:val="22"/>
          <w:lang w:val="en-GB"/>
        </w:rPr>
        <w:t xml:space="preserve"> Assessment (normally assessed as follows)</w:t>
      </w:r>
    </w:p>
    <w:p w14:paraId="314DB8D8"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0DB9115C" w14:textId="1C54F683"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Paper (60% –</w:t>
      </w:r>
      <w:r>
        <w:rPr>
          <w:rFonts w:ascii="DINCE-Regular" w:hAnsi="DINCE-Regular"/>
          <w:color w:val="404040" w:themeColor="text1" w:themeTint="BF"/>
          <w:sz w:val="22"/>
          <w:szCs w:val="22"/>
          <w:lang w:val="en-GB"/>
        </w:rPr>
        <w:t xml:space="preserve"> 3</w:t>
      </w:r>
      <w:r w:rsidRPr="00B12AD7">
        <w:rPr>
          <w:rFonts w:ascii="DINCE-Regular" w:hAnsi="DINCE-Regular"/>
          <w:color w:val="404040" w:themeColor="text1" w:themeTint="BF"/>
          <w:sz w:val="22"/>
          <w:szCs w:val="22"/>
          <w:lang w:val="en-GB"/>
        </w:rPr>
        <w:t xml:space="preserve"> Credits): 3000 words; contributes to learning outcomes 4, 5</w:t>
      </w:r>
    </w:p>
    <w:p w14:paraId="0FDBB690" w14:textId="2FF31AB9"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Final exam (40% – </w:t>
      </w:r>
      <w:r>
        <w:rPr>
          <w:rFonts w:ascii="DINCE-Regular" w:hAnsi="DINCE-Regular"/>
          <w:color w:val="404040" w:themeColor="text1" w:themeTint="BF"/>
          <w:sz w:val="22"/>
          <w:szCs w:val="22"/>
          <w:lang w:val="en-GB"/>
        </w:rPr>
        <w:t>2</w:t>
      </w:r>
      <w:r w:rsidRPr="00B12AD7">
        <w:rPr>
          <w:rFonts w:ascii="DINCE-Regular" w:hAnsi="DINCE-Regular"/>
          <w:color w:val="404040" w:themeColor="text1" w:themeTint="BF"/>
          <w:sz w:val="22"/>
          <w:szCs w:val="22"/>
          <w:lang w:val="en-GB"/>
        </w:rPr>
        <w:t xml:space="preserve"> Credits): 120 minutes; contributes to learning outcomes 1, 2, 3, 4, 5</w:t>
      </w:r>
    </w:p>
    <w:p w14:paraId="7AF7785E"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02D1A7FC" w14:textId="77777777" w:rsidR="00365B13" w:rsidRPr="00B12AD7" w:rsidRDefault="00365B13" w:rsidP="00365B13">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40262F5C"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Date of last amendment</w:t>
      </w:r>
    </w:p>
    <w:p w14:paraId="13F3BAD6"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25-10-2016</w:t>
      </w:r>
    </w:p>
    <w:p w14:paraId="08536921"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p>
    <w:p w14:paraId="02F4D21C"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3. MODULE RESOURCES</w:t>
      </w:r>
    </w:p>
    <w:p w14:paraId="052D3BB7"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Essential Reading</w:t>
      </w:r>
    </w:p>
    <w:p w14:paraId="33589029"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Graham, S., 2010. </w:t>
      </w:r>
      <w:r w:rsidRPr="00B12AD7">
        <w:rPr>
          <w:rFonts w:ascii="DINCE-Regular" w:hAnsi="DINCE-Regular"/>
          <w:i/>
          <w:color w:val="404040" w:themeColor="text1" w:themeTint="BF"/>
          <w:sz w:val="22"/>
          <w:szCs w:val="22"/>
          <w:lang w:val="en-GB"/>
        </w:rPr>
        <w:t>Cities Under the Siege</w:t>
      </w:r>
      <w:r w:rsidRPr="00B12AD7">
        <w:rPr>
          <w:rFonts w:ascii="DINCE-Regular" w:hAnsi="DINCE-Regular"/>
          <w:color w:val="404040" w:themeColor="text1" w:themeTint="BF"/>
          <w:sz w:val="22"/>
          <w:szCs w:val="22"/>
          <w:lang w:val="en-GB"/>
        </w:rPr>
        <w:t>. New York: Verso.</w:t>
      </w:r>
    </w:p>
    <w:p w14:paraId="679F339A" w14:textId="77777777" w:rsidR="00365B13" w:rsidRPr="00B12AD7" w:rsidRDefault="00365B13" w:rsidP="00365B13">
      <w:pPr>
        <w:shd w:val="clear" w:color="auto" w:fill="FFFFFF"/>
        <w:ind w:left="720" w:hanging="720"/>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Recommended Reading</w:t>
      </w:r>
    </w:p>
    <w:p w14:paraId="618B94C7"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Adam, B., Beck, U., van Loon, J., 2000. </w:t>
      </w:r>
      <w:r w:rsidRPr="00B12AD7">
        <w:rPr>
          <w:rFonts w:ascii="DINCE-Regular" w:hAnsi="DINCE-Regular"/>
          <w:i/>
          <w:color w:val="404040" w:themeColor="text1" w:themeTint="BF"/>
          <w:sz w:val="22"/>
          <w:szCs w:val="22"/>
          <w:lang w:val="en-GB"/>
        </w:rPr>
        <w:t>The Risk Society and Beyond: Critical Issues for Social Theory</w:t>
      </w:r>
      <w:r w:rsidRPr="00B12AD7">
        <w:rPr>
          <w:rFonts w:ascii="DINCE-Regular" w:hAnsi="DINCE-Regular"/>
          <w:color w:val="404040" w:themeColor="text1" w:themeTint="BF"/>
          <w:sz w:val="22"/>
          <w:szCs w:val="22"/>
          <w:lang w:val="en-GB"/>
        </w:rPr>
        <w:t>. London: SAGE.</w:t>
      </w:r>
    </w:p>
    <w:p w14:paraId="42D77D78"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Bourdieu, P., 1996. </w:t>
      </w:r>
      <w:r w:rsidRPr="00B12AD7">
        <w:rPr>
          <w:rFonts w:ascii="DINCE-Regular" w:hAnsi="DINCE-Regular"/>
          <w:i/>
          <w:color w:val="404040" w:themeColor="text1" w:themeTint="BF"/>
          <w:sz w:val="22"/>
          <w:szCs w:val="22"/>
          <w:lang w:val="en-GB"/>
        </w:rPr>
        <w:t>On Television.</w:t>
      </w:r>
      <w:r w:rsidRPr="00B12AD7">
        <w:rPr>
          <w:rFonts w:ascii="DINCE-Regular" w:hAnsi="DINCE-Regular"/>
          <w:color w:val="404040" w:themeColor="text1" w:themeTint="BF"/>
          <w:sz w:val="22"/>
          <w:szCs w:val="22"/>
          <w:lang w:val="en-GB"/>
        </w:rPr>
        <w:t xml:space="preserve"> New York: New Press.</w:t>
      </w:r>
    </w:p>
    <w:p w14:paraId="5FF54300"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Christensen, L.T., Cornelissen, J., 2015. Organizational transparency as myth and metaphor. </w:t>
      </w:r>
      <w:r w:rsidRPr="00B12AD7">
        <w:rPr>
          <w:rFonts w:ascii="DINCE-Regular" w:hAnsi="DINCE-Regular"/>
          <w:i/>
          <w:color w:val="404040" w:themeColor="text1" w:themeTint="BF"/>
          <w:sz w:val="22"/>
          <w:szCs w:val="22"/>
          <w:lang w:val="en-GB"/>
        </w:rPr>
        <w:t>European Journal of Social Theory</w:t>
      </w:r>
      <w:r w:rsidRPr="00B12AD7">
        <w:rPr>
          <w:rFonts w:ascii="DINCE-Regular" w:hAnsi="DINCE-Regular"/>
          <w:color w:val="404040" w:themeColor="text1" w:themeTint="BF"/>
          <w:sz w:val="22"/>
          <w:szCs w:val="22"/>
          <w:lang w:val="en-GB"/>
        </w:rPr>
        <w:t>, 18(2), pp.132–149.</w:t>
      </w:r>
    </w:p>
    <w:p w14:paraId="5F18521B"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Foucault, M., 1995 or later editions. </w:t>
      </w:r>
      <w:r w:rsidRPr="00B12AD7">
        <w:rPr>
          <w:rFonts w:ascii="DINCE-Regular" w:hAnsi="DINCE-Regular"/>
          <w:i/>
          <w:color w:val="404040" w:themeColor="text1" w:themeTint="BF"/>
          <w:sz w:val="22"/>
          <w:szCs w:val="22"/>
          <w:lang w:val="en-GB"/>
        </w:rPr>
        <w:t xml:space="preserve">Discipline and </w:t>
      </w:r>
      <w:proofErr w:type="gramStart"/>
      <w:r w:rsidRPr="00B12AD7">
        <w:rPr>
          <w:rFonts w:ascii="DINCE-Regular" w:hAnsi="DINCE-Regular"/>
          <w:i/>
          <w:color w:val="404040" w:themeColor="text1" w:themeTint="BF"/>
          <w:sz w:val="22"/>
          <w:szCs w:val="22"/>
          <w:lang w:val="en-GB"/>
        </w:rPr>
        <w:t>Punish</w:t>
      </w:r>
      <w:proofErr w:type="gramEnd"/>
      <w:r w:rsidRPr="00B12AD7">
        <w:rPr>
          <w:rFonts w:ascii="DINCE-Regular" w:hAnsi="DINCE-Regular"/>
          <w:color w:val="404040" w:themeColor="text1" w:themeTint="BF"/>
          <w:sz w:val="22"/>
          <w:szCs w:val="22"/>
          <w:lang w:val="en-GB"/>
        </w:rPr>
        <w:t>. London: Taylor and Francis.</w:t>
      </w:r>
    </w:p>
    <w:p w14:paraId="4312C05B"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Lyon, D., 2011. </w:t>
      </w:r>
      <w:r w:rsidRPr="00B12AD7">
        <w:rPr>
          <w:rFonts w:ascii="DINCE-Regular" w:hAnsi="DINCE-Regular"/>
          <w:i/>
          <w:color w:val="404040" w:themeColor="text1" w:themeTint="BF"/>
          <w:sz w:val="22"/>
          <w:szCs w:val="22"/>
          <w:lang w:val="en-GB"/>
        </w:rPr>
        <w:t>Surveillance Society: Monitoring Everyday Life</w:t>
      </w:r>
      <w:r w:rsidRPr="00B12AD7">
        <w:rPr>
          <w:rFonts w:ascii="DINCE-Regular" w:hAnsi="DINCE-Regular"/>
          <w:color w:val="404040" w:themeColor="text1" w:themeTint="BF"/>
          <w:sz w:val="22"/>
          <w:szCs w:val="22"/>
          <w:lang w:val="en-GB"/>
        </w:rPr>
        <w:t>. Buckingham: Open Univ. Press.</w:t>
      </w:r>
    </w:p>
    <w:p w14:paraId="416A4823"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Goold, B.J., 2004. </w:t>
      </w:r>
      <w:r w:rsidRPr="00B12AD7">
        <w:rPr>
          <w:rFonts w:ascii="DINCE-Regular" w:hAnsi="DINCE-Regular"/>
          <w:i/>
          <w:color w:val="404040" w:themeColor="text1" w:themeTint="BF"/>
          <w:sz w:val="22"/>
          <w:szCs w:val="22"/>
          <w:lang w:val="en-GB"/>
        </w:rPr>
        <w:t>CCTV and Policing: Public Area Surveillance and Police Practices in Britain</w:t>
      </w:r>
      <w:r w:rsidRPr="00B12AD7">
        <w:rPr>
          <w:rFonts w:ascii="DINCE-Regular" w:hAnsi="DINCE-Regular"/>
          <w:color w:val="404040" w:themeColor="text1" w:themeTint="BF"/>
          <w:sz w:val="22"/>
          <w:szCs w:val="22"/>
          <w:lang w:val="en-GB"/>
        </w:rPr>
        <w:t>. Oxford:</w:t>
      </w:r>
      <w:r w:rsidRPr="00B12AD7">
        <w:rPr>
          <w:rFonts w:ascii="DINCE-Regular" w:hAnsi="DINCE-Regular"/>
          <w:color w:val="404040" w:themeColor="text1" w:themeTint="BF"/>
        </w:rPr>
        <w:t xml:space="preserve"> </w:t>
      </w:r>
      <w:r w:rsidRPr="00B12AD7">
        <w:rPr>
          <w:rFonts w:ascii="DINCE-Regular" w:hAnsi="DINCE-Regular"/>
          <w:color w:val="404040" w:themeColor="text1" w:themeTint="BF"/>
          <w:sz w:val="22"/>
          <w:szCs w:val="22"/>
          <w:lang w:val="en-GB"/>
        </w:rPr>
        <w:t>Oxford University Press.</w:t>
      </w:r>
    </w:p>
    <w:p w14:paraId="255E41D4" w14:textId="77777777" w:rsidR="00365B13" w:rsidRPr="00B12AD7" w:rsidRDefault="00365B13" w:rsidP="00365B13">
      <w:pPr>
        <w:spacing w:line="276" w:lineRule="auto"/>
        <w:ind w:left="720" w:hanging="720"/>
        <w:contextualSpacing/>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Postman, N., 1992. </w:t>
      </w:r>
      <w:proofErr w:type="spellStart"/>
      <w:r w:rsidRPr="00B12AD7">
        <w:rPr>
          <w:rFonts w:ascii="DINCE-Regular" w:hAnsi="DINCE-Regular"/>
          <w:i/>
          <w:color w:val="404040" w:themeColor="text1" w:themeTint="BF"/>
          <w:sz w:val="22"/>
          <w:szCs w:val="22"/>
          <w:lang w:val="en-GB"/>
        </w:rPr>
        <w:t>Technopoly</w:t>
      </w:r>
      <w:proofErr w:type="spellEnd"/>
      <w:r w:rsidRPr="00B12AD7">
        <w:rPr>
          <w:rFonts w:ascii="DINCE-Regular" w:hAnsi="DINCE-Regular"/>
          <w:i/>
          <w:color w:val="404040" w:themeColor="text1" w:themeTint="BF"/>
          <w:sz w:val="22"/>
          <w:szCs w:val="22"/>
          <w:lang w:val="en-GB"/>
        </w:rPr>
        <w:t>. The Surrender of Culture to Technology.</w:t>
      </w:r>
      <w:r w:rsidRPr="00B12AD7">
        <w:rPr>
          <w:rFonts w:ascii="DINCE-Regular" w:hAnsi="DINCE-Regular"/>
          <w:color w:val="404040" w:themeColor="text1" w:themeTint="BF"/>
        </w:rPr>
        <w:t xml:space="preserve"> </w:t>
      </w:r>
      <w:r w:rsidRPr="00B12AD7">
        <w:rPr>
          <w:rFonts w:ascii="DINCE-Regular" w:hAnsi="DINCE-Regular"/>
          <w:iCs/>
          <w:color w:val="404040" w:themeColor="text1" w:themeTint="BF"/>
          <w:sz w:val="22"/>
          <w:szCs w:val="22"/>
          <w:lang w:val="en-GB"/>
        </w:rPr>
        <w:t xml:space="preserve">New </w:t>
      </w:r>
      <w:proofErr w:type="gramStart"/>
      <w:r w:rsidRPr="00B12AD7">
        <w:rPr>
          <w:rFonts w:ascii="DINCE-Regular" w:hAnsi="DINCE-Regular"/>
          <w:iCs/>
          <w:color w:val="404040" w:themeColor="text1" w:themeTint="BF"/>
          <w:sz w:val="22"/>
          <w:szCs w:val="22"/>
          <w:lang w:val="en-GB"/>
        </w:rPr>
        <w:t>York :</w:t>
      </w:r>
      <w:proofErr w:type="gramEnd"/>
      <w:r w:rsidRPr="00B12AD7">
        <w:rPr>
          <w:rFonts w:ascii="DINCE-Regular" w:hAnsi="DINCE-Regular"/>
          <w:iCs/>
          <w:color w:val="404040" w:themeColor="text1" w:themeTint="BF"/>
          <w:sz w:val="22"/>
          <w:szCs w:val="22"/>
          <w:lang w:val="en-GB"/>
        </w:rPr>
        <w:t xml:space="preserve"> Knopf.</w:t>
      </w:r>
    </w:p>
    <w:p w14:paraId="2C103710"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Required Equipment</w:t>
      </w:r>
    </w:p>
    <w:p w14:paraId="051D1A83"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488EC1D2"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p>
    <w:p w14:paraId="27AE71E7" w14:textId="77777777" w:rsidR="00365B13" w:rsidRPr="00B12AD7" w:rsidRDefault="00365B13" w:rsidP="00365B13">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4. MODULE ORGANISATION</w:t>
      </w:r>
    </w:p>
    <w:p w14:paraId="6A5471DF" w14:textId="77777777" w:rsidR="00365B13" w:rsidRPr="00B12AD7" w:rsidRDefault="00365B13" w:rsidP="00365B13">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3030"/>
        <w:gridCol w:w="95"/>
      </w:tblGrid>
      <w:tr w:rsidR="00365B13" w:rsidRPr="00B12AD7" w14:paraId="13AABE19" w14:textId="77777777" w:rsidTr="00FE71EB">
        <w:trPr>
          <w:trHeight w:val="432"/>
          <w:tblCellSpacing w:w="15" w:type="dxa"/>
        </w:trPr>
        <w:tc>
          <w:tcPr>
            <w:tcW w:w="0" w:type="auto"/>
            <w:tcMar>
              <w:top w:w="15" w:type="dxa"/>
              <w:left w:w="480" w:type="dxa"/>
              <w:bottom w:w="15" w:type="dxa"/>
              <w:right w:w="240" w:type="dxa"/>
            </w:tcMar>
            <w:vAlign w:val="center"/>
          </w:tcPr>
          <w:p w14:paraId="44A178BD"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Name</w:t>
            </w:r>
          </w:p>
        </w:tc>
        <w:tc>
          <w:tcPr>
            <w:tcW w:w="3000" w:type="dxa"/>
            <w:vAlign w:val="center"/>
          </w:tcPr>
          <w:p w14:paraId="01A1C6C0" w14:textId="77777777" w:rsidR="00365B13" w:rsidRPr="00B12AD7" w:rsidRDefault="00365B13" w:rsidP="00FE71EB">
            <w:pPr>
              <w:spacing w:line="276" w:lineRule="auto"/>
              <w:jc w:val="both"/>
              <w:rPr>
                <w:rFonts w:ascii="DINCE-Regular" w:hAnsi="DINCE-Regular"/>
                <w:color w:val="404040" w:themeColor="text1" w:themeTint="BF"/>
                <w:sz w:val="22"/>
                <w:szCs w:val="22"/>
                <w:lang w:eastAsia="en-GB"/>
              </w:rPr>
            </w:pPr>
            <w:r w:rsidRPr="00B12AD7">
              <w:rPr>
                <w:rFonts w:ascii="DINCE-Regular" w:hAnsi="DINCE-Regular"/>
                <w:color w:val="404040" w:themeColor="text1" w:themeTint="BF"/>
                <w:sz w:val="22"/>
                <w:szCs w:val="22"/>
              </w:rPr>
              <w:t>Dr Joshua Walcott</w:t>
            </w:r>
          </w:p>
        </w:tc>
        <w:tc>
          <w:tcPr>
            <w:tcW w:w="50" w:type="dxa"/>
            <w:vAlign w:val="center"/>
          </w:tcPr>
          <w:p w14:paraId="3652704B" w14:textId="77777777" w:rsidR="00365B13" w:rsidRPr="00B12AD7" w:rsidRDefault="00365B13" w:rsidP="00FE71EB">
            <w:pPr>
              <w:spacing w:line="276" w:lineRule="auto"/>
              <w:jc w:val="both"/>
              <w:rPr>
                <w:rFonts w:ascii="DINCE-Regular" w:hAnsi="DINCE-Regular"/>
                <w:color w:val="404040" w:themeColor="text1" w:themeTint="BF"/>
                <w:sz w:val="22"/>
                <w:szCs w:val="22"/>
                <w:lang w:eastAsia="en-GB"/>
              </w:rPr>
            </w:pPr>
          </w:p>
        </w:tc>
      </w:tr>
      <w:tr w:rsidR="00365B13" w:rsidRPr="00B12AD7" w14:paraId="3FD1AC67" w14:textId="77777777" w:rsidTr="00FE71EB">
        <w:trPr>
          <w:trHeight w:val="432"/>
          <w:tblCellSpacing w:w="15" w:type="dxa"/>
        </w:trPr>
        <w:tc>
          <w:tcPr>
            <w:tcW w:w="0" w:type="auto"/>
            <w:tcMar>
              <w:top w:w="15" w:type="dxa"/>
              <w:left w:w="480" w:type="dxa"/>
              <w:bottom w:w="15" w:type="dxa"/>
              <w:right w:w="240" w:type="dxa"/>
            </w:tcMar>
            <w:vAlign w:val="center"/>
          </w:tcPr>
          <w:p w14:paraId="184B83A6" w14:textId="77777777" w:rsidR="00365B13" w:rsidRPr="00B12AD7" w:rsidRDefault="00365B13"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E-mail</w:t>
            </w:r>
          </w:p>
        </w:tc>
        <w:tc>
          <w:tcPr>
            <w:tcW w:w="3000" w:type="dxa"/>
            <w:vAlign w:val="center"/>
          </w:tcPr>
          <w:p w14:paraId="2406447C" w14:textId="77777777" w:rsidR="00365B13" w:rsidRPr="00B12AD7" w:rsidRDefault="00365B13" w:rsidP="00FE71EB">
            <w:pPr>
              <w:spacing w:line="276" w:lineRule="auto"/>
              <w:jc w:val="both"/>
              <w:rPr>
                <w:rFonts w:ascii="DINCE-Regular" w:hAnsi="DINCE-Regular"/>
                <w:color w:val="404040" w:themeColor="text1" w:themeTint="BF"/>
              </w:rPr>
            </w:pPr>
            <w:r w:rsidRPr="00B12AD7">
              <w:rPr>
                <w:rFonts w:ascii="DINCE-Regular" w:hAnsi="DINCE-Regular"/>
                <w:color w:val="404040" w:themeColor="text1" w:themeTint="BF"/>
                <w:sz w:val="22"/>
                <w:szCs w:val="22"/>
                <w:u w:val="single"/>
                <w:lang w:val="en-GB"/>
              </w:rPr>
              <w:t>joshuapwalcott@gmail.com</w:t>
            </w:r>
          </w:p>
        </w:tc>
        <w:tc>
          <w:tcPr>
            <w:tcW w:w="50" w:type="dxa"/>
            <w:vAlign w:val="center"/>
          </w:tcPr>
          <w:p w14:paraId="1F7DFFF9" w14:textId="77777777" w:rsidR="00365B13" w:rsidRPr="00B12AD7" w:rsidRDefault="00365B13" w:rsidP="00FE71EB">
            <w:pPr>
              <w:spacing w:line="276" w:lineRule="auto"/>
              <w:jc w:val="both"/>
              <w:rPr>
                <w:rFonts w:ascii="DINCE-Regular" w:hAnsi="DINCE-Regular"/>
                <w:color w:val="404040" w:themeColor="text1" w:themeTint="BF"/>
                <w:sz w:val="22"/>
                <w:szCs w:val="22"/>
                <w:lang w:val="en-GB" w:eastAsia="en-GB"/>
              </w:rPr>
            </w:pPr>
          </w:p>
        </w:tc>
      </w:tr>
    </w:tbl>
    <w:p w14:paraId="69CFC70E" w14:textId="77777777" w:rsidR="00365B13" w:rsidRPr="00B12AD7" w:rsidRDefault="00365B13" w:rsidP="00365B13">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Length and month of examination</w:t>
      </w:r>
    </w:p>
    <w:p w14:paraId="6314438B" w14:textId="77777777" w:rsidR="00365B13" w:rsidRPr="00B12AD7" w:rsidRDefault="00365B13" w:rsidP="00365B13">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120 minutes in June</w:t>
      </w:r>
    </w:p>
    <w:p w14:paraId="2EC9CE5A"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7CD8E0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AD827AC"/>
    <w:multiLevelType w:val="multilevel"/>
    <w:tmpl w:val="16285D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0220120">
    <w:abstractNumId w:val="0"/>
  </w:num>
  <w:num w:numId="2" w16cid:durableId="208969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13"/>
    <w:rsid w:val="002F545A"/>
    <w:rsid w:val="00365B13"/>
    <w:rsid w:val="00605D61"/>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464A44A"/>
  <w15:chartTrackingRefBased/>
  <w15:docId w15:val="{9D859DE4-DD29-7542-BF5B-EFDE734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B13"/>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365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5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65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B13"/>
    <w:rPr>
      <w:rFonts w:eastAsiaTheme="majorEastAsia" w:cstheme="majorBidi"/>
      <w:color w:val="272727" w:themeColor="text1" w:themeTint="D8"/>
    </w:rPr>
  </w:style>
  <w:style w:type="paragraph" w:styleId="Title">
    <w:name w:val="Title"/>
    <w:basedOn w:val="Normal"/>
    <w:next w:val="Normal"/>
    <w:link w:val="TitleChar"/>
    <w:uiPriority w:val="10"/>
    <w:qFormat/>
    <w:rsid w:val="00365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B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5B13"/>
    <w:rPr>
      <w:i/>
      <w:iCs/>
      <w:color w:val="404040" w:themeColor="text1" w:themeTint="BF"/>
    </w:rPr>
  </w:style>
  <w:style w:type="paragraph" w:styleId="ListParagraph">
    <w:name w:val="List Paragraph"/>
    <w:basedOn w:val="Normal"/>
    <w:uiPriority w:val="34"/>
    <w:qFormat/>
    <w:rsid w:val="00365B13"/>
    <w:pPr>
      <w:ind w:left="720"/>
      <w:contextualSpacing/>
    </w:pPr>
  </w:style>
  <w:style w:type="character" w:styleId="IntenseEmphasis">
    <w:name w:val="Intense Emphasis"/>
    <w:basedOn w:val="DefaultParagraphFont"/>
    <w:uiPriority w:val="21"/>
    <w:qFormat/>
    <w:rsid w:val="00365B13"/>
    <w:rPr>
      <w:i/>
      <w:iCs/>
      <w:color w:val="0F4761" w:themeColor="accent1" w:themeShade="BF"/>
    </w:rPr>
  </w:style>
  <w:style w:type="paragraph" w:styleId="IntenseQuote">
    <w:name w:val="Intense Quote"/>
    <w:basedOn w:val="Normal"/>
    <w:next w:val="Normal"/>
    <w:link w:val="IntenseQuoteChar"/>
    <w:uiPriority w:val="30"/>
    <w:qFormat/>
    <w:rsid w:val="00365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B13"/>
    <w:rPr>
      <w:i/>
      <w:iCs/>
      <w:color w:val="0F4761" w:themeColor="accent1" w:themeShade="BF"/>
    </w:rPr>
  </w:style>
  <w:style w:type="character" w:styleId="IntenseReference">
    <w:name w:val="Intense Reference"/>
    <w:basedOn w:val="DefaultParagraphFont"/>
    <w:uiPriority w:val="32"/>
    <w:qFormat/>
    <w:rsid w:val="00365B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2025-08-22T14:09:00Z</dcterms:created>
  <dcterms:modified xsi:type="dcterms:W3CDTF">2025-08-22T14:10:00Z</dcterms:modified>
</cp:coreProperties>
</file>