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2488" w14:textId="72BF6B8B" w:rsidR="00FE783B" w:rsidRDefault="00FE783B" w:rsidP="00FE783B">
      <w:pPr>
        <w:widowControl w:val="0"/>
        <w:tabs>
          <w:tab w:val="left" w:pos="8593"/>
        </w:tabs>
        <w:spacing w:after="360"/>
        <w:ind w:right="196"/>
        <w:contextualSpacing/>
        <w:rPr>
          <w:rFonts w:ascii="Arial" w:eastAsia="Arial" w:hAnsi="Arial" w:cs="Calibri Light"/>
          <w:bCs/>
          <w:color w:val="008080"/>
          <w:sz w:val="48"/>
          <w:szCs w:val="48"/>
          <w:lang w:val="en-US"/>
        </w:rPr>
      </w:pPr>
      <w:r w:rsidRPr="00FE783B">
        <w:rPr>
          <w:rFonts w:ascii="Arial" w:eastAsia="Arial" w:hAnsi="Arial" w:cs="Calibri Light"/>
          <w:bCs/>
          <w:color w:val="008080"/>
          <w:sz w:val="48"/>
          <w:szCs w:val="48"/>
          <w:lang w:val="en-US"/>
        </w:rPr>
        <w:t>Political Geography and Comparative Politics</w:t>
      </w:r>
    </w:p>
    <w:p w14:paraId="3822EF02" w14:textId="77777777" w:rsidR="00FE783B" w:rsidRPr="00FE783B" w:rsidRDefault="00FE783B" w:rsidP="00FE783B">
      <w:pPr>
        <w:widowControl w:val="0"/>
        <w:tabs>
          <w:tab w:val="left" w:pos="8593"/>
        </w:tabs>
        <w:spacing w:after="360"/>
        <w:ind w:right="196"/>
        <w:contextualSpacing/>
        <w:rPr>
          <w:rFonts w:ascii="Arial" w:eastAsia="Arial" w:hAnsi="Arial" w:cs="Calibri Light"/>
          <w:bCs/>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FE783B" w:rsidRPr="00FE783B" w14:paraId="5320478D" w14:textId="77777777" w:rsidTr="00FE783B">
        <w:trPr>
          <w:trHeight w:val="397"/>
        </w:trPr>
        <w:tc>
          <w:tcPr>
            <w:tcW w:w="5000" w:type="pct"/>
          </w:tcPr>
          <w:p w14:paraId="72B2DEF5" w14:textId="77777777" w:rsidR="00FE783B" w:rsidRPr="00FE783B" w:rsidRDefault="00FE783B" w:rsidP="00FE783B">
            <w:pPr>
              <w:spacing w:before="80" w:after="80"/>
              <w:contextualSpacing/>
            </w:pPr>
            <w:r w:rsidRPr="00FE783B">
              <w:rPr>
                <w:b/>
              </w:rPr>
              <w:t>Credit level:</w:t>
            </w:r>
            <w:r w:rsidRPr="00FE783B">
              <w:rPr>
                <w:i/>
                <w:iCs/>
                <w:spacing w:val="-9"/>
              </w:rPr>
              <w:t xml:space="preserve"> </w:t>
            </w:r>
            <w:r w:rsidRPr="00FE783B">
              <w:rPr>
                <w:spacing w:val="-9"/>
              </w:rPr>
              <w:t>4</w:t>
            </w:r>
          </w:p>
        </w:tc>
      </w:tr>
      <w:tr w:rsidR="00FE783B" w:rsidRPr="00FE783B" w14:paraId="151B5217" w14:textId="77777777" w:rsidTr="00FE783B">
        <w:trPr>
          <w:trHeight w:val="397"/>
        </w:trPr>
        <w:tc>
          <w:tcPr>
            <w:tcW w:w="5000" w:type="pct"/>
          </w:tcPr>
          <w:p w14:paraId="1865D14E" w14:textId="77777777" w:rsidR="00FE783B" w:rsidRPr="00FE783B" w:rsidRDefault="00FE783B" w:rsidP="00FE783B">
            <w:pPr>
              <w:spacing w:before="80" w:after="80"/>
              <w:contextualSpacing/>
              <w:rPr>
                <w:b/>
              </w:rPr>
            </w:pPr>
            <w:r w:rsidRPr="00FE783B">
              <w:rPr>
                <w:b/>
              </w:rPr>
              <w:t>Length:</w:t>
            </w:r>
            <w:r w:rsidRPr="00FE783B">
              <w:t xml:space="preserve"> </w:t>
            </w:r>
            <w:r w:rsidRPr="00FE783B">
              <w:rPr>
                <w:bCs/>
              </w:rPr>
              <w:t>semester 2</w:t>
            </w:r>
          </w:p>
        </w:tc>
      </w:tr>
      <w:tr w:rsidR="00FE783B" w:rsidRPr="00FE783B" w14:paraId="4BD345C8" w14:textId="77777777" w:rsidTr="00FE783B">
        <w:trPr>
          <w:trHeight w:val="397"/>
        </w:trPr>
        <w:tc>
          <w:tcPr>
            <w:tcW w:w="5000" w:type="pct"/>
          </w:tcPr>
          <w:p w14:paraId="2A59A31C" w14:textId="40FE7200" w:rsidR="00FE783B" w:rsidRPr="00FE783B" w:rsidRDefault="00FE783B" w:rsidP="00FE783B">
            <w:pPr>
              <w:spacing w:before="80" w:after="80"/>
              <w:contextualSpacing/>
              <w:rPr>
                <w:b/>
              </w:rPr>
            </w:pPr>
            <w:r w:rsidRPr="00FE783B">
              <w:rPr>
                <w:b/>
              </w:rPr>
              <w:t xml:space="preserve">ECTS credit value: </w:t>
            </w:r>
            <w:r>
              <w:rPr>
                <w:b/>
              </w:rPr>
              <w:t>8</w:t>
            </w:r>
            <w:r w:rsidRPr="00FE783B">
              <w:rPr>
                <w:bCs/>
              </w:rPr>
              <w:t xml:space="preserve"> </w:t>
            </w:r>
          </w:p>
        </w:tc>
      </w:tr>
      <w:tr w:rsidR="00FE783B" w:rsidRPr="00FE783B" w14:paraId="5597AF2F" w14:textId="77777777" w:rsidTr="00FE783B">
        <w:trPr>
          <w:trHeight w:val="397"/>
        </w:trPr>
        <w:tc>
          <w:tcPr>
            <w:tcW w:w="5000" w:type="pct"/>
          </w:tcPr>
          <w:p w14:paraId="0328F6FB" w14:textId="77777777" w:rsidR="00FE783B" w:rsidRPr="00FE783B" w:rsidRDefault="00FE783B" w:rsidP="00FE783B">
            <w:pPr>
              <w:spacing w:before="192" w:after="80"/>
              <w:contextualSpacing/>
            </w:pPr>
            <w:r w:rsidRPr="00FE783B">
              <w:rPr>
                <w:b/>
              </w:rPr>
              <w:t xml:space="preserve">College and School: </w:t>
            </w:r>
            <w:r w:rsidRPr="00FE783B">
              <w:rPr>
                <w:bCs/>
              </w:rPr>
              <w:t xml:space="preserve">Lazarski University in Warsaw, Faculty of Economics and Management </w:t>
            </w:r>
          </w:p>
        </w:tc>
      </w:tr>
      <w:tr w:rsidR="00FE783B" w:rsidRPr="00FE783B" w14:paraId="26E370CE" w14:textId="77777777" w:rsidTr="00FE783B">
        <w:trPr>
          <w:trHeight w:val="397"/>
        </w:trPr>
        <w:tc>
          <w:tcPr>
            <w:tcW w:w="5000" w:type="pct"/>
          </w:tcPr>
          <w:p w14:paraId="37287A2A" w14:textId="77777777" w:rsidR="00FE783B" w:rsidRPr="00FE783B" w:rsidRDefault="00FE783B" w:rsidP="00FE783B">
            <w:pPr>
              <w:spacing w:before="192" w:after="80"/>
              <w:contextualSpacing/>
              <w:rPr>
                <w:b/>
              </w:rPr>
            </w:pPr>
            <w:r w:rsidRPr="00FE783B">
              <w:rPr>
                <w:b/>
              </w:rPr>
              <w:t xml:space="preserve">Module Leader: </w:t>
            </w:r>
            <w:r w:rsidRPr="00FE783B">
              <w:rPr>
                <w:bCs/>
              </w:rPr>
              <w:t xml:space="preserve">prof. Jakub </w:t>
            </w:r>
            <w:proofErr w:type="spellStart"/>
            <w:r w:rsidRPr="00FE783B">
              <w:rPr>
                <w:bCs/>
              </w:rPr>
              <w:t>Wódka</w:t>
            </w:r>
            <w:proofErr w:type="spellEnd"/>
          </w:p>
        </w:tc>
      </w:tr>
      <w:tr w:rsidR="00FE783B" w:rsidRPr="00FE783B" w14:paraId="76E6C5AF" w14:textId="77777777" w:rsidTr="00FE783B">
        <w:trPr>
          <w:trHeight w:val="397"/>
        </w:trPr>
        <w:tc>
          <w:tcPr>
            <w:tcW w:w="5000" w:type="pct"/>
          </w:tcPr>
          <w:p w14:paraId="7E6B569D" w14:textId="77777777" w:rsidR="00FE783B" w:rsidRPr="00FE783B" w:rsidRDefault="00FE783B" w:rsidP="00FE783B">
            <w:pPr>
              <w:spacing w:before="80" w:after="80"/>
              <w:contextualSpacing/>
              <w:rPr>
                <w:b/>
                <w:bCs/>
              </w:rPr>
            </w:pPr>
            <w:r w:rsidRPr="00FE783B">
              <w:rPr>
                <w:b/>
                <w:bCs/>
              </w:rPr>
              <w:t xml:space="preserve">Host Course: </w:t>
            </w:r>
            <w:r w:rsidRPr="00FE783B">
              <w:t>BA International Relations</w:t>
            </w:r>
          </w:p>
        </w:tc>
      </w:tr>
      <w:tr w:rsidR="00FE783B" w:rsidRPr="00FE783B" w14:paraId="238EA6CF" w14:textId="77777777" w:rsidTr="00FE783B">
        <w:trPr>
          <w:trHeight w:val="397"/>
        </w:trPr>
        <w:tc>
          <w:tcPr>
            <w:tcW w:w="5000" w:type="pct"/>
          </w:tcPr>
          <w:p w14:paraId="6220E8C5" w14:textId="77777777" w:rsidR="00FE783B" w:rsidRPr="00FE783B" w:rsidRDefault="00FE783B" w:rsidP="00FE783B">
            <w:pPr>
              <w:spacing w:before="80" w:after="80"/>
              <w:contextualSpacing/>
              <w:rPr>
                <w:b/>
              </w:rPr>
            </w:pPr>
            <w:r w:rsidRPr="00FE783B">
              <w:rPr>
                <w:b/>
              </w:rPr>
              <w:t>Pre-requisites:</w:t>
            </w:r>
            <w:r w:rsidRPr="00FE783B">
              <w:rPr>
                <w:i/>
                <w:bdr w:val="none" w:sz="0" w:space="0" w:color="auto" w:frame="1"/>
              </w:rPr>
              <w:t xml:space="preserve"> </w:t>
            </w:r>
            <w:r w:rsidRPr="00FE783B">
              <w:rPr>
                <w:shd w:val="clear" w:color="auto" w:fill="FFFFFF"/>
              </w:rPr>
              <w:t>N/A</w:t>
            </w:r>
          </w:p>
        </w:tc>
      </w:tr>
      <w:tr w:rsidR="00FE783B" w:rsidRPr="00FE783B" w14:paraId="0ED27668" w14:textId="77777777" w:rsidTr="00FE783B">
        <w:trPr>
          <w:trHeight w:val="397"/>
        </w:trPr>
        <w:tc>
          <w:tcPr>
            <w:tcW w:w="5000" w:type="pct"/>
          </w:tcPr>
          <w:p w14:paraId="32A2137D" w14:textId="77777777" w:rsidR="00FE783B" w:rsidRPr="00FE783B" w:rsidRDefault="00FE783B" w:rsidP="00FE783B">
            <w:pPr>
              <w:spacing w:before="80" w:after="80"/>
              <w:contextualSpacing/>
              <w:rPr>
                <w:b/>
              </w:rPr>
            </w:pPr>
            <w:r w:rsidRPr="00FE783B">
              <w:rPr>
                <w:b/>
              </w:rPr>
              <w:t>Co-requisites:</w:t>
            </w:r>
            <w:r w:rsidRPr="00FE783B">
              <w:rPr>
                <w:b/>
                <w:bCs/>
                <w:i/>
                <w:iCs/>
                <w:shd w:val="clear" w:color="auto" w:fill="FFFFFF"/>
              </w:rPr>
              <w:t xml:space="preserve"> </w:t>
            </w:r>
            <w:r w:rsidRPr="00FE783B">
              <w:rPr>
                <w:shd w:val="clear" w:color="auto" w:fill="FFFFFF"/>
              </w:rPr>
              <w:t>N/A</w:t>
            </w:r>
          </w:p>
        </w:tc>
      </w:tr>
      <w:tr w:rsidR="00FE783B" w:rsidRPr="00FE783B" w14:paraId="0D27E02B" w14:textId="77777777" w:rsidTr="00FE783B">
        <w:trPr>
          <w:trHeight w:val="397"/>
        </w:trPr>
        <w:tc>
          <w:tcPr>
            <w:tcW w:w="5000" w:type="pct"/>
          </w:tcPr>
          <w:p w14:paraId="78DB3908" w14:textId="77777777" w:rsidR="00FE783B" w:rsidRPr="00FE783B" w:rsidRDefault="00FE783B" w:rsidP="00FE783B">
            <w:pPr>
              <w:spacing w:before="80" w:after="80"/>
              <w:contextualSpacing/>
              <w:rPr>
                <w:b/>
              </w:rPr>
            </w:pPr>
            <w:r w:rsidRPr="00FE783B">
              <w:rPr>
                <w:b/>
              </w:rPr>
              <w:t>Special features:</w:t>
            </w:r>
            <w:r w:rsidRPr="00FE783B">
              <w:rPr>
                <w:i/>
                <w:bdr w:val="none" w:sz="0" w:space="0" w:color="auto" w:frame="1"/>
              </w:rPr>
              <w:t xml:space="preserve"> </w:t>
            </w:r>
            <w:r w:rsidRPr="00FE783B">
              <w:rPr>
                <w:shd w:val="clear" w:color="auto" w:fill="FFFFFF"/>
              </w:rPr>
              <w:t>N/A</w:t>
            </w:r>
          </w:p>
        </w:tc>
      </w:tr>
      <w:tr w:rsidR="00FE783B" w:rsidRPr="00FE783B" w14:paraId="30457E52" w14:textId="77777777" w:rsidTr="00FE783B">
        <w:trPr>
          <w:trHeight w:val="397"/>
        </w:trPr>
        <w:tc>
          <w:tcPr>
            <w:tcW w:w="5000" w:type="pct"/>
          </w:tcPr>
          <w:p w14:paraId="4DCF99A0" w14:textId="77777777" w:rsidR="00FE783B" w:rsidRPr="00FE783B" w:rsidRDefault="00FE783B" w:rsidP="00FE783B">
            <w:pPr>
              <w:spacing w:before="80" w:after="80"/>
              <w:contextualSpacing/>
              <w:rPr>
                <w:b/>
              </w:rPr>
            </w:pPr>
            <w:r w:rsidRPr="00FE783B">
              <w:rPr>
                <w:b/>
              </w:rPr>
              <w:t>Access restrictions:</w:t>
            </w:r>
            <w:r w:rsidRPr="00FE783B">
              <w:rPr>
                <w:i/>
                <w:bdr w:val="none" w:sz="0" w:space="0" w:color="auto" w:frame="1"/>
              </w:rPr>
              <w:t xml:space="preserve"> </w:t>
            </w:r>
            <w:r w:rsidRPr="00FE783B">
              <w:rPr>
                <w:shd w:val="clear" w:color="auto" w:fill="FFFFFF"/>
              </w:rPr>
              <w:t>N/A</w:t>
            </w:r>
          </w:p>
        </w:tc>
      </w:tr>
      <w:tr w:rsidR="00FE783B" w:rsidRPr="00FE783B" w14:paraId="2F6E0202" w14:textId="77777777" w:rsidTr="00FE783B">
        <w:trPr>
          <w:trHeight w:val="397"/>
        </w:trPr>
        <w:tc>
          <w:tcPr>
            <w:tcW w:w="5000" w:type="pct"/>
          </w:tcPr>
          <w:p w14:paraId="19AA2584" w14:textId="77777777" w:rsidR="00FE783B" w:rsidRPr="00FE783B" w:rsidRDefault="00FE783B" w:rsidP="00FE783B">
            <w:pPr>
              <w:spacing w:before="80" w:after="80"/>
              <w:contextualSpacing/>
              <w:jc w:val="both"/>
              <w:rPr>
                <w:b/>
                <w:bCs/>
                <w:i/>
                <w:iCs/>
              </w:rPr>
            </w:pPr>
            <w:r w:rsidRPr="00FE783B">
              <w:rPr>
                <w:b/>
                <w:bCs/>
              </w:rPr>
              <w:t xml:space="preserve">Summary of module content: </w:t>
            </w:r>
            <w:r w:rsidRPr="00FE783B">
              <w:rPr>
                <w:shd w:val="clear" w:color="auto" w:fill="FFFFFF"/>
              </w:rPr>
              <w:t xml:space="preserve">The purpose of this </w:t>
            </w:r>
            <w:r w:rsidRPr="00FE783B">
              <w:t xml:space="preserve">module </w:t>
            </w:r>
            <w:r w:rsidRPr="00FE783B">
              <w:rPr>
                <w:shd w:val="clear" w:color="auto" w:fill="FFFFFF"/>
              </w:rPr>
              <w:t xml:space="preserve">is to introduce students to the study of political geography and of comparative governments all over the globe. The </w:t>
            </w:r>
            <w:r w:rsidRPr="00FE783B">
              <w:t xml:space="preserve">module </w:t>
            </w:r>
            <w:r w:rsidRPr="00FE783B">
              <w:rPr>
                <w:shd w:val="clear" w:color="auto" w:fill="FFFFFF"/>
              </w:rPr>
              <w:t xml:space="preserve">will give an overview of the concepts and theories in geopolitics and will teach students how to apply these ideas in describing the evolution of the modern political map. Particular attention will be paid to the role of the European Union as a new global player, alongside comparative discussions of other regional organizations such as ASEAN, the African Union, and Mercosur to highlight similarities and differences in political geography and governance. The </w:t>
            </w:r>
            <w:r w:rsidRPr="00FE783B">
              <w:t xml:space="preserve">module </w:t>
            </w:r>
            <w:r w:rsidRPr="00FE783B">
              <w:rPr>
                <w:shd w:val="clear" w:color="auto" w:fill="FFFFFF"/>
              </w:rPr>
              <w:t>also aims to introduce students to the study of comparative politics and familiarize them with the variety of political systems, their constitutive parts and unique features.</w:t>
            </w:r>
          </w:p>
        </w:tc>
      </w:tr>
    </w:tbl>
    <w:p w14:paraId="2A4FE463" w14:textId="77777777" w:rsidR="00FE783B" w:rsidRPr="00FE783B" w:rsidRDefault="00FE783B" w:rsidP="00FE783B">
      <w:pPr>
        <w:widowControl w:val="0"/>
        <w:spacing w:after="120"/>
        <w:contextualSpacing/>
        <w:rPr>
          <w:rFonts w:ascii="Arial" w:eastAsia="Arial" w:hAnsi="Arial" w:cs="Arial"/>
          <w:b/>
          <w:sz w:val="32"/>
          <w:szCs w:val="32"/>
          <w:lang w:val="en-US"/>
        </w:rPr>
      </w:pPr>
      <w:r w:rsidRPr="00FE783B">
        <w:rPr>
          <w:rFonts w:ascii="Arial" w:eastAsia="Arial" w:hAnsi="Arial" w:cs="Arial"/>
          <w:sz w:val="22"/>
          <w:szCs w:val="22"/>
          <w:lang w:val="en-US"/>
        </w:rPr>
        <w:br w:type="page"/>
      </w:r>
    </w:p>
    <w:p w14:paraId="55F985C0" w14:textId="77777777" w:rsidR="00FE783B" w:rsidRPr="00FE783B" w:rsidRDefault="00FE783B" w:rsidP="00FE783B">
      <w:pPr>
        <w:widowControl w:val="0"/>
        <w:spacing w:before="240" w:after="240"/>
        <w:outlineLvl w:val="0"/>
        <w:rPr>
          <w:rFonts w:ascii="Arial" w:eastAsia="Arial" w:hAnsi="Arial" w:cs="Arial"/>
          <w:b/>
          <w:bCs/>
          <w:color w:val="000000"/>
          <w:sz w:val="32"/>
          <w:szCs w:val="32"/>
          <w:lang w:val="en-US"/>
        </w:rPr>
      </w:pPr>
      <w:r w:rsidRPr="00FE783B">
        <w:rPr>
          <w:rFonts w:ascii="Arial" w:eastAsia="Arial" w:hAnsi="Arial" w:cs="Arial"/>
          <w:b/>
          <w:bCs/>
          <w:sz w:val="32"/>
          <w:szCs w:val="36"/>
          <w:lang w:val="en-US"/>
        </w:rPr>
        <w:lastRenderedPageBreak/>
        <w:t>Assessment Methods</w:t>
      </w:r>
    </w:p>
    <w:tbl>
      <w:tblPr>
        <w:tblW w:w="82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A0" w:firstRow="1" w:lastRow="0" w:firstColumn="1" w:lastColumn="0" w:noHBand="1" w:noVBand="1"/>
      </w:tblPr>
      <w:tblGrid>
        <w:gridCol w:w="846"/>
        <w:gridCol w:w="1701"/>
        <w:gridCol w:w="1701"/>
        <w:gridCol w:w="1417"/>
        <w:gridCol w:w="2552"/>
      </w:tblGrid>
      <w:tr w:rsidR="00FE783B" w:rsidRPr="00FE783B" w14:paraId="6E69CB60" w14:textId="77777777" w:rsidTr="00FE71EB">
        <w:trPr>
          <w:trHeight w:val="397"/>
        </w:trPr>
        <w:tc>
          <w:tcPr>
            <w:tcW w:w="846" w:type="dxa"/>
          </w:tcPr>
          <w:p w14:paraId="608D0425"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b/>
                <w:color w:val="000000"/>
                <w:sz w:val="23"/>
                <w:szCs w:val="23"/>
                <w:lang w:val="en-US"/>
              </w:rPr>
            </w:pPr>
            <w:r w:rsidRPr="00FE783B">
              <w:rPr>
                <w:rFonts w:ascii="Arial" w:eastAsia="Arial" w:hAnsi="Arial" w:cs="Arial"/>
                <w:color w:val="000000"/>
                <w:sz w:val="23"/>
                <w:szCs w:val="23"/>
                <w:lang w:val="en-US"/>
              </w:rPr>
              <w:t>Rank</w:t>
            </w:r>
          </w:p>
        </w:tc>
        <w:tc>
          <w:tcPr>
            <w:tcW w:w="1701" w:type="dxa"/>
          </w:tcPr>
          <w:p w14:paraId="1CE4E0C7"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b/>
                <w:color w:val="000000"/>
                <w:sz w:val="23"/>
                <w:szCs w:val="23"/>
                <w:lang w:val="en-US"/>
              </w:rPr>
            </w:pPr>
            <w:r w:rsidRPr="00FE783B">
              <w:rPr>
                <w:rFonts w:ascii="Arial" w:eastAsia="Arial" w:hAnsi="Arial" w:cs="Arial"/>
                <w:color w:val="000000"/>
                <w:sz w:val="23"/>
                <w:szCs w:val="23"/>
                <w:lang w:val="en-US"/>
              </w:rPr>
              <w:t>Assessment type</w:t>
            </w:r>
          </w:p>
        </w:tc>
        <w:tc>
          <w:tcPr>
            <w:tcW w:w="1701" w:type="dxa"/>
          </w:tcPr>
          <w:p w14:paraId="138FE3E6"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b/>
                <w:color w:val="000000"/>
                <w:sz w:val="23"/>
                <w:szCs w:val="23"/>
                <w:lang w:val="en-US"/>
              </w:rPr>
            </w:pPr>
            <w:r w:rsidRPr="00FE783B">
              <w:rPr>
                <w:rFonts w:ascii="Arial" w:eastAsia="Arial" w:hAnsi="Arial" w:cs="Arial"/>
                <w:color w:val="000000"/>
                <w:sz w:val="23"/>
                <w:szCs w:val="23"/>
                <w:lang w:val="en-US"/>
              </w:rPr>
              <w:t>Assessment name</w:t>
            </w:r>
          </w:p>
        </w:tc>
        <w:tc>
          <w:tcPr>
            <w:tcW w:w="1417" w:type="dxa"/>
          </w:tcPr>
          <w:p w14:paraId="1226AB79"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b/>
                <w:color w:val="000000"/>
                <w:sz w:val="23"/>
                <w:szCs w:val="23"/>
                <w:lang w:val="en-US"/>
              </w:rPr>
            </w:pPr>
            <w:r w:rsidRPr="00FE783B">
              <w:rPr>
                <w:rFonts w:ascii="Arial" w:eastAsia="Arial" w:hAnsi="Arial" w:cs="Arial"/>
                <w:color w:val="000000"/>
                <w:sz w:val="23"/>
                <w:szCs w:val="23"/>
                <w:lang w:val="en-US"/>
              </w:rPr>
              <w:t>Weighting</w:t>
            </w:r>
          </w:p>
        </w:tc>
        <w:tc>
          <w:tcPr>
            <w:tcW w:w="2552" w:type="dxa"/>
          </w:tcPr>
          <w:p w14:paraId="708D0E48" w14:textId="77777777" w:rsidR="00FE783B" w:rsidRPr="00FE783B" w:rsidRDefault="00FE783B" w:rsidP="00FE783B">
            <w:pPr>
              <w:widowControl w:val="0"/>
              <w:pBdr>
                <w:top w:val="nil"/>
                <w:left w:val="nil"/>
                <w:bottom w:val="nil"/>
                <w:right w:val="nil"/>
                <w:between w:val="nil"/>
              </w:pBdr>
              <w:spacing w:after="80"/>
              <w:ind w:left="81" w:right="50"/>
              <w:contextualSpacing/>
              <w:rPr>
                <w:rFonts w:ascii="Arial" w:eastAsia="Arial" w:hAnsi="Arial" w:cs="Arial"/>
                <w:b/>
                <w:color w:val="000000"/>
                <w:sz w:val="23"/>
                <w:szCs w:val="23"/>
                <w:lang w:val="en-US"/>
              </w:rPr>
            </w:pPr>
            <w:r w:rsidRPr="00FE783B">
              <w:rPr>
                <w:rFonts w:ascii="Arial" w:eastAsia="Arial" w:hAnsi="Arial" w:cs="Arial"/>
                <w:color w:val="000000"/>
                <w:sz w:val="23"/>
                <w:szCs w:val="23"/>
                <w:lang w:val="en-US"/>
              </w:rPr>
              <w:t>Qualifying set (where the minimum mark required applies across multiple assessments)</w:t>
            </w:r>
          </w:p>
        </w:tc>
      </w:tr>
      <w:tr w:rsidR="00FE783B" w:rsidRPr="00FE783B" w14:paraId="0DE1F077" w14:textId="77777777" w:rsidTr="00FE71EB">
        <w:trPr>
          <w:trHeight w:val="397"/>
        </w:trPr>
        <w:tc>
          <w:tcPr>
            <w:tcW w:w="846" w:type="dxa"/>
          </w:tcPr>
          <w:p w14:paraId="6BAC1F61"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b/>
                <w:color w:val="000000"/>
                <w:sz w:val="22"/>
                <w:szCs w:val="22"/>
                <w:lang w:val="en-US"/>
              </w:rPr>
            </w:pPr>
            <w:r w:rsidRPr="00FE783B">
              <w:rPr>
                <w:rFonts w:ascii="Arial" w:eastAsia="Arial" w:hAnsi="Arial" w:cs="Arial"/>
                <w:color w:val="000000"/>
                <w:sz w:val="22"/>
                <w:szCs w:val="22"/>
                <w:lang w:val="en-US"/>
              </w:rPr>
              <w:t>1</w:t>
            </w:r>
          </w:p>
        </w:tc>
        <w:tc>
          <w:tcPr>
            <w:tcW w:w="1701" w:type="dxa"/>
          </w:tcPr>
          <w:p w14:paraId="453CAFAB"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Group Presentation</w:t>
            </w:r>
          </w:p>
        </w:tc>
        <w:tc>
          <w:tcPr>
            <w:tcW w:w="1701" w:type="dxa"/>
          </w:tcPr>
          <w:p w14:paraId="442C0E75"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 xml:space="preserve">Presentation </w:t>
            </w:r>
          </w:p>
        </w:tc>
        <w:tc>
          <w:tcPr>
            <w:tcW w:w="1417" w:type="dxa"/>
          </w:tcPr>
          <w:p w14:paraId="69338873"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30</w:t>
            </w:r>
          </w:p>
        </w:tc>
        <w:tc>
          <w:tcPr>
            <w:tcW w:w="2552" w:type="dxa"/>
            <w:vMerge w:val="restart"/>
          </w:tcPr>
          <w:p w14:paraId="79069DD5"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p>
        </w:tc>
      </w:tr>
      <w:tr w:rsidR="00FE783B" w:rsidRPr="00FE783B" w14:paraId="7990BFEF" w14:textId="77777777" w:rsidTr="00FE71EB">
        <w:trPr>
          <w:trHeight w:val="397"/>
        </w:trPr>
        <w:tc>
          <w:tcPr>
            <w:tcW w:w="846" w:type="dxa"/>
          </w:tcPr>
          <w:p w14:paraId="2FD2B0EA"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b/>
                <w:color w:val="000000"/>
                <w:sz w:val="22"/>
                <w:szCs w:val="22"/>
                <w:lang w:val="en-US"/>
              </w:rPr>
            </w:pPr>
            <w:r w:rsidRPr="00FE783B">
              <w:rPr>
                <w:rFonts w:ascii="Arial" w:eastAsia="Arial" w:hAnsi="Arial" w:cs="Arial"/>
                <w:color w:val="000000"/>
                <w:sz w:val="22"/>
                <w:szCs w:val="22"/>
                <w:lang w:val="en-US"/>
              </w:rPr>
              <w:t>2</w:t>
            </w:r>
          </w:p>
        </w:tc>
        <w:tc>
          <w:tcPr>
            <w:tcW w:w="1701" w:type="dxa"/>
          </w:tcPr>
          <w:p w14:paraId="40D9D6E0"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Coursework</w:t>
            </w:r>
          </w:p>
        </w:tc>
        <w:tc>
          <w:tcPr>
            <w:tcW w:w="1701" w:type="dxa"/>
          </w:tcPr>
          <w:p w14:paraId="00152F5D"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Policy brief</w:t>
            </w:r>
          </w:p>
        </w:tc>
        <w:tc>
          <w:tcPr>
            <w:tcW w:w="1417" w:type="dxa"/>
          </w:tcPr>
          <w:p w14:paraId="47C6AA0C"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30</w:t>
            </w:r>
          </w:p>
        </w:tc>
        <w:tc>
          <w:tcPr>
            <w:tcW w:w="2552" w:type="dxa"/>
            <w:vMerge/>
          </w:tcPr>
          <w:p w14:paraId="2B766F18" w14:textId="77777777" w:rsidR="00FE783B" w:rsidRPr="00FE783B" w:rsidRDefault="00FE783B" w:rsidP="00FE783B">
            <w:pPr>
              <w:widowControl w:val="0"/>
              <w:pBdr>
                <w:top w:val="nil"/>
                <w:left w:val="nil"/>
                <w:bottom w:val="nil"/>
                <w:right w:val="nil"/>
                <w:between w:val="nil"/>
              </w:pBdr>
              <w:spacing w:line="276" w:lineRule="auto"/>
              <w:contextualSpacing/>
              <w:rPr>
                <w:rFonts w:ascii="Arial" w:eastAsia="Arial" w:hAnsi="Arial" w:cs="Arial"/>
                <w:color w:val="000000"/>
                <w:sz w:val="22"/>
                <w:szCs w:val="22"/>
                <w:lang w:val="en-US"/>
              </w:rPr>
            </w:pPr>
          </w:p>
        </w:tc>
      </w:tr>
      <w:tr w:rsidR="00FE783B" w:rsidRPr="00FE783B" w14:paraId="3A520EFF" w14:textId="77777777" w:rsidTr="00FE71EB">
        <w:trPr>
          <w:trHeight w:val="397"/>
        </w:trPr>
        <w:tc>
          <w:tcPr>
            <w:tcW w:w="846" w:type="dxa"/>
          </w:tcPr>
          <w:p w14:paraId="41203A52"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b/>
                <w:color w:val="000000"/>
                <w:sz w:val="22"/>
                <w:szCs w:val="22"/>
                <w:lang w:val="en-US"/>
              </w:rPr>
            </w:pPr>
            <w:r w:rsidRPr="00FE783B">
              <w:rPr>
                <w:rFonts w:ascii="Arial" w:eastAsia="Arial" w:hAnsi="Arial" w:cs="Arial"/>
                <w:color w:val="000000"/>
                <w:sz w:val="22"/>
                <w:szCs w:val="22"/>
                <w:lang w:val="en-US"/>
              </w:rPr>
              <w:t>3</w:t>
            </w:r>
          </w:p>
        </w:tc>
        <w:tc>
          <w:tcPr>
            <w:tcW w:w="1701" w:type="dxa"/>
          </w:tcPr>
          <w:p w14:paraId="0C6A376E"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Closed Book Exam</w:t>
            </w:r>
          </w:p>
        </w:tc>
        <w:tc>
          <w:tcPr>
            <w:tcW w:w="1701" w:type="dxa"/>
          </w:tcPr>
          <w:p w14:paraId="61DD300E"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 xml:space="preserve">Final exam </w:t>
            </w:r>
          </w:p>
        </w:tc>
        <w:tc>
          <w:tcPr>
            <w:tcW w:w="1417" w:type="dxa"/>
          </w:tcPr>
          <w:p w14:paraId="7D8972A8" w14:textId="77777777" w:rsidR="00FE783B" w:rsidRPr="00FE783B" w:rsidRDefault="00FE783B" w:rsidP="00FE783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FE783B">
              <w:rPr>
                <w:rFonts w:ascii="Arial" w:eastAsia="Arial" w:hAnsi="Arial" w:cs="Arial"/>
                <w:color w:val="000000"/>
                <w:sz w:val="22"/>
                <w:szCs w:val="22"/>
                <w:lang w:val="en-US"/>
              </w:rPr>
              <w:t>40</w:t>
            </w:r>
          </w:p>
        </w:tc>
        <w:tc>
          <w:tcPr>
            <w:tcW w:w="2552" w:type="dxa"/>
            <w:vMerge/>
          </w:tcPr>
          <w:p w14:paraId="1D00949D" w14:textId="77777777" w:rsidR="00FE783B" w:rsidRPr="00FE783B" w:rsidRDefault="00FE783B" w:rsidP="00FE783B">
            <w:pPr>
              <w:widowControl w:val="0"/>
              <w:pBdr>
                <w:top w:val="nil"/>
                <w:left w:val="nil"/>
                <w:bottom w:val="nil"/>
                <w:right w:val="nil"/>
                <w:between w:val="nil"/>
              </w:pBdr>
              <w:spacing w:line="276" w:lineRule="auto"/>
              <w:contextualSpacing/>
              <w:rPr>
                <w:rFonts w:ascii="Arial" w:eastAsia="Arial" w:hAnsi="Arial" w:cs="Arial"/>
                <w:color w:val="000000"/>
                <w:sz w:val="22"/>
                <w:szCs w:val="22"/>
                <w:lang w:val="en-US"/>
              </w:rPr>
            </w:pPr>
          </w:p>
        </w:tc>
      </w:tr>
    </w:tbl>
    <w:p w14:paraId="79161CCF" w14:textId="77777777" w:rsidR="00FE783B" w:rsidRPr="00FE783B" w:rsidRDefault="00FE783B" w:rsidP="00FE783B">
      <w:pPr>
        <w:widowControl w:val="0"/>
        <w:spacing w:before="240" w:after="240"/>
        <w:outlineLvl w:val="0"/>
        <w:rPr>
          <w:rFonts w:ascii="Arial" w:eastAsia="Arial" w:hAnsi="Arial" w:cs="Arial"/>
          <w:b/>
          <w:bCs/>
          <w:sz w:val="32"/>
          <w:szCs w:val="36"/>
          <w:lang w:val="en-US"/>
        </w:rPr>
      </w:pPr>
      <w:r w:rsidRPr="00FE783B">
        <w:rPr>
          <w:rFonts w:ascii="Arial" w:eastAsia="Arial" w:hAnsi="Arial" w:cs="Arial"/>
          <w:b/>
          <w:bCs/>
          <w:sz w:val="32"/>
          <w:szCs w:val="36"/>
          <w:lang w:val="en-US"/>
        </w:rPr>
        <w:t>Synoptic assessment</w:t>
      </w:r>
    </w:p>
    <w:p w14:paraId="605C18AC" w14:textId="77777777" w:rsidR="00FE783B" w:rsidRPr="00FE783B" w:rsidRDefault="00FE783B" w:rsidP="00FE783B">
      <w:pPr>
        <w:widowControl w:val="0"/>
        <w:spacing w:before="240" w:after="240"/>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 xml:space="preserve">N/A </w:t>
      </w:r>
    </w:p>
    <w:p w14:paraId="482B78D8" w14:textId="77777777" w:rsidR="00FE783B" w:rsidRPr="00FE783B" w:rsidRDefault="00FE783B" w:rsidP="00FE783B">
      <w:pPr>
        <w:widowControl w:val="0"/>
        <w:spacing w:before="240" w:after="240"/>
        <w:outlineLvl w:val="0"/>
        <w:rPr>
          <w:rFonts w:ascii="Arial" w:eastAsia="Arial" w:hAnsi="Arial" w:cs="Arial"/>
          <w:b/>
          <w:bCs/>
          <w:color w:val="000000"/>
          <w:sz w:val="32"/>
          <w:szCs w:val="32"/>
          <w:lang w:val="en-US"/>
        </w:rPr>
      </w:pPr>
      <w:r w:rsidRPr="00FE783B">
        <w:rPr>
          <w:rFonts w:ascii="Arial" w:eastAsia="Arial" w:hAnsi="Arial" w:cs="Arial"/>
          <w:b/>
          <w:bCs/>
          <w:sz w:val="32"/>
          <w:szCs w:val="36"/>
          <w:lang w:val="en-US"/>
        </w:rPr>
        <w:t>Learning outcomes</w:t>
      </w:r>
    </w:p>
    <w:p w14:paraId="46C7C1B2" w14:textId="77777777" w:rsidR="00FE783B" w:rsidRPr="00FE783B" w:rsidRDefault="00FE783B" w:rsidP="00FE783B">
      <w:pPr>
        <w:widowControl w:val="0"/>
        <w:spacing w:after="120"/>
        <w:contextualSpacing/>
        <w:rPr>
          <w:rFonts w:ascii="Arial" w:eastAsia="Arial" w:hAnsi="Arial" w:cs="Arial"/>
          <w:sz w:val="22"/>
          <w:szCs w:val="22"/>
          <w:lang w:val="en-US"/>
        </w:rPr>
      </w:pPr>
      <w:r w:rsidRPr="00FE783B">
        <w:rPr>
          <w:rFonts w:ascii="Arial" w:eastAsia="Arial" w:hAnsi="Arial" w:cs="Arial"/>
          <w:sz w:val="22"/>
          <w:szCs w:val="22"/>
          <w:lang w:val="en-US"/>
        </w:rPr>
        <w:t>By the end of the module the successful student will be able to:</w:t>
      </w:r>
    </w:p>
    <w:p w14:paraId="785EB196" w14:textId="77777777" w:rsidR="00FE783B" w:rsidRPr="00FE783B" w:rsidRDefault="00FE783B" w:rsidP="00FE783B">
      <w:pPr>
        <w:widowControl w:val="0"/>
        <w:numPr>
          <w:ilvl w:val="0"/>
          <w:numId w:val="1"/>
        </w:numPr>
        <w:spacing w:after="120"/>
        <w:contextualSpacing/>
        <w:jc w:val="both"/>
        <w:outlineLvl w:val="0"/>
        <w:rPr>
          <w:rFonts w:ascii="Arial" w:eastAsia="Arial" w:hAnsi="Arial" w:cs="Arial"/>
          <w:bCs/>
          <w:sz w:val="22"/>
          <w:szCs w:val="22"/>
          <w:lang w:val="en-US"/>
        </w:rPr>
      </w:pPr>
      <w:sdt>
        <w:sdtPr>
          <w:rPr>
            <w:rFonts w:ascii="Arial" w:eastAsia="Arial" w:hAnsi="Arial" w:cs="Arial"/>
            <w:bCs/>
            <w:sz w:val="22"/>
            <w:szCs w:val="22"/>
            <w:lang w:val="en-US"/>
          </w:rPr>
          <w:tag w:val="goog_rdk_11"/>
          <w:id w:val="967697407"/>
        </w:sdtPr>
        <w:sdtContent>
          <w:r w:rsidRPr="00FE783B">
            <w:rPr>
              <w:rFonts w:ascii="Arial" w:eastAsia="Arial" w:hAnsi="Arial" w:cs="Arial"/>
              <w:bCs/>
              <w:sz w:val="22"/>
              <w:szCs w:val="22"/>
              <w:lang w:val="en-US"/>
            </w:rPr>
            <w:t>Critically evaluate key theories of political geography, including theories such as Heartland Theory (Mackinder), Rimland Theory (</w:t>
          </w:r>
          <w:proofErr w:type="spellStart"/>
          <w:r w:rsidRPr="00FE783B">
            <w:rPr>
              <w:rFonts w:ascii="Arial" w:eastAsia="Arial" w:hAnsi="Arial" w:cs="Arial"/>
              <w:bCs/>
              <w:sz w:val="22"/>
              <w:szCs w:val="22"/>
              <w:lang w:val="en-US"/>
            </w:rPr>
            <w:t>Spykman</w:t>
          </w:r>
          <w:proofErr w:type="spellEnd"/>
          <w:r w:rsidRPr="00FE783B">
            <w:rPr>
              <w:rFonts w:ascii="Arial" w:eastAsia="Arial" w:hAnsi="Arial" w:cs="Arial"/>
              <w:bCs/>
              <w:sz w:val="22"/>
              <w:szCs w:val="22"/>
              <w:lang w:val="en-US"/>
            </w:rPr>
            <w:t>), World-Systems Theory (Wallerstein), and Critical Geopolitics.</w:t>
          </w:r>
        </w:sdtContent>
      </w:sdt>
      <w:sdt>
        <w:sdtPr>
          <w:rPr>
            <w:rFonts w:ascii="Arial" w:eastAsia="Arial" w:hAnsi="Arial" w:cs="Arial"/>
            <w:bCs/>
            <w:sz w:val="22"/>
            <w:szCs w:val="22"/>
            <w:lang w:val="en-US"/>
          </w:rPr>
          <w:tag w:val="goog_rdk_12"/>
          <w:id w:val="122974397"/>
          <w:showingPlcHdr/>
        </w:sdtPr>
        <w:sdtContent>
          <w:r w:rsidRPr="00FE783B">
            <w:rPr>
              <w:rFonts w:ascii="Arial" w:eastAsia="Arial" w:hAnsi="Arial" w:cs="Arial"/>
              <w:bCs/>
              <w:sz w:val="22"/>
              <w:szCs w:val="22"/>
              <w:lang w:val="en-US"/>
            </w:rPr>
            <w:t xml:space="preserve">     </w:t>
          </w:r>
        </w:sdtContent>
      </w:sdt>
    </w:p>
    <w:p w14:paraId="63CFC538" w14:textId="77777777" w:rsidR="00FE783B" w:rsidRPr="00FE783B" w:rsidRDefault="00FE783B" w:rsidP="00FE783B">
      <w:pPr>
        <w:widowControl w:val="0"/>
        <w:numPr>
          <w:ilvl w:val="0"/>
          <w:numId w:val="1"/>
        </w:numPr>
        <w:spacing w:after="120"/>
        <w:contextualSpacing/>
        <w:jc w:val="both"/>
        <w:outlineLvl w:val="0"/>
        <w:rPr>
          <w:rFonts w:ascii="Arial" w:eastAsia="Arial" w:hAnsi="Arial" w:cs="Arial"/>
          <w:bCs/>
          <w:sz w:val="22"/>
          <w:szCs w:val="22"/>
          <w:lang w:val="en-US"/>
        </w:rPr>
      </w:pPr>
      <w:r w:rsidRPr="00FE783B">
        <w:rPr>
          <w:rFonts w:ascii="Arial" w:eastAsia="Arial" w:hAnsi="Arial" w:cs="Arial"/>
          <w:bCs/>
          <w:sz w:val="22"/>
          <w:szCs w:val="22"/>
          <w:lang w:val="en-US"/>
        </w:rPr>
        <w:t>Demonstrate an understanding of interplay between political, economic, social, and cultural factors shaping the geopolitical landscape, engaging with diverse perspectives and critical debates.</w:t>
      </w:r>
    </w:p>
    <w:p w14:paraId="34CDED9B" w14:textId="77777777" w:rsidR="00FE783B" w:rsidRPr="00FE783B" w:rsidRDefault="00FE783B" w:rsidP="00FE783B">
      <w:pPr>
        <w:widowControl w:val="0"/>
        <w:numPr>
          <w:ilvl w:val="0"/>
          <w:numId w:val="1"/>
        </w:numPr>
        <w:spacing w:after="120"/>
        <w:contextualSpacing/>
        <w:jc w:val="both"/>
        <w:outlineLvl w:val="0"/>
        <w:rPr>
          <w:rFonts w:ascii="Arial" w:eastAsia="Arial" w:hAnsi="Arial" w:cs="Arial"/>
          <w:bCs/>
          <w:sz w:val="22"/>
          <w:szCs w:val="22"/>
          <w:lang w:val="en-US"/>
        </w:rPr>
      </w:pPr>
      <w:r w:rsidRPr="00FE783B">
        <w:rPr>
          <w:rFonts w:ascii="Arial" w:eastAsia="Arial" w:hAnsi="Arial" w:cs="Arial"/>
          <w:bCs/>
          <w:sz w:val="22"/>
          <w:szCs w:val="22"/>
          <w:lang w:val="en-US"/>
        </w:rPr>
        <w:t>Apply political geography theories to contemporary geopolitical challenges, demonstrating the ability to develop and sustain well-justified arguments through various forms of communication, including writing, presentations, and discussion</w:t>
      </w:r>
    </w:p>
    <w:p w14:paraId="5B211B3D" w14:textId="77777777" w:rsidR="00FE783B" w:rsidRPr="00FE783B" w:rsidRDefault="00FE783B" w:rsidP="00FE783B">
      <w:pPr>
        <w:widowControl w:val="0"/>
        <w:numPr>
          <w:ilvl w:val="0"/>
          <w:numId w:val="1"/>
        </w:numPr>
        <w:spacing w:after="120"/>
        <w:contextualSpacing/>
        <w:jc w:val="both"/>
        <w:outlineLvl w:val="0"/>
        <w:rPr>
          <w:rFonts w:ascii="Arial" w:eastAsia="Arial" w:hAnsi="Arial" w:cs="Arial"/>
          <w:bCs/>
          <w:sz w:val="22"/>
          <w:szCs w:val="22"/>
          <w:lang w:val="en-US"/>
        </w:rPr>
      </w:pPr>
      <w:r w:rsidRPr="00FE783B">
        <w:rPr>
          <w:rFonts w:ascii="Arial" w:eastAsia="Arial" w:hAnsi="Arial" w:cs="Arial"/>
          <w:bCs/>
          <w:sz w:val="22"/>
          <w:szCs w:val="22"/>
          <w:lang w:val="en-US"/>
        </w:rPr>
        <w:t>Demonstrate an understanding of different political systems.</w:t>
      </w:r>
    </w:p>
    <w:p w14:paraId="201EDB63" w14:textId="77777777" w:rsidR="00FE783B" w:rsidRPr="00FE783B" w:rsidRDefault="00FE783B" w:rsidP="00FE783B">
      <w:pPr>
        <w:widowControl w:val="0"/>
        <w:numPr>
          <w:ilvl w:val="0"/>
          <w:numId w:val="1"/>
        </w:numPr>
        <w:spacing w:after="120"/>
        <w:contextualSpacing/>
        <w:jc w:val="both"/>
        <w:outlineLvl w:val="0"/>
        <w:rPr>
          <w:rFonts w:ascii="Arial" w:eastAsia="Arial" w:hAnsi="Arial" w:cs="Arial"/>
          <w:bCs/>
          <w:sz w:val="22"/>
          <w:szCs w:val="22"/>
          <w:lang w:val="en-US"/>
        </w:rPr>
      </w:pPr>
      <w:r w:rsidRPr="00FE783B">
        <w:rPr>
          <w:rFonts w:ascii="Arial" w:eastAsia="Arial" w:hAnsi="Arial" w:cs="Arial"/>
          <w:bCs/>
          <w:sz w:val="22"/>
          <w:szCs w:val="22"/>
          <w:lang w:val="en-US"/>
        </w:rPr>
        <w:t xml:space="preserve">Critically </w:t>
      </w:r>
      <w:proofErr w:type="spellStart"/>
      <w:r w:rsidRPr="00FE783B">
        <w:rPr>
          <w:rFonts w:ascii="Arial" w:eastAsia="Arial" w:hAnsi="Arial" w:cs="Arial"/>
          <w:bCs/>
          <w:sz w:val="22"/>
          <w:szCs w:val="22"/>
          <w:lang w:val="en-US"/>
        </w:rPr>
        <w:t>analyse</w:t>
      </w:r>
      <w:proofErr w:type="spellEnd"/>
      <w:r w:rsidRPr="00FE783B">
        <w:rPr>
          <w:rFonts w:ascii="Arial" w:eastAsia="Arial" w:hAnsi="Arial" w:cs="Arial"/>
          <w:bCs/>
          <w:sz w:val="22"/>
          <w:szCs w:val="22"/>
          <w:lang w:val="en-US"/>
        </w:rPr>
        <w:t xml:space="preserve"> the historical development of political systems in the geopolitical context, recognizing patterns of continuity and change in the global order.</w:t>
      </w:r>
    </w:p>
    <w:p w14:paraId="5AD331D7" w14:textId="77777777" w:rsidR="00FE783B" w:rsidRPr="00FE783B" w:rsidRDefault="00FE783B" w:rsidP="00FE783B">
      <w:pPr>
        <w:widowControl w:val="0"/>
        <w:numPr>
          <w:ilvl w:val="0"/>
          <w:numId w:val="1"/>
        </w:numPr>
        <w:spacing w:after="120"/>
        <w:contextualSpacing/>
        <w:jc w:val="both"/>
        <w:outlineLvl w:val="0"/>
        <w:rPr>
          <w:rFonts w:ascii="Arial" w:eastAsia="Arial" w:hAnsi="Arial" w:cs="Arial"/>
          <w:bCs/>
          <w:sz w:val="22"/>
          <w:szCs w:val="22"/>
          <w:lang w:val="en-US"/>
        </w:rPr>
      </w:pPr>
      <w:r w:rsidRPr="00FE783B">
        <w:rPr>
          <w:rFonts w:ascii="Arial" w:eastAsia="Arial" w:hAnsi="Arial" w:cs="Arial"/>
          <w:bCs/>
          <w:sz w:val="22"/>
          <w:szCs w:val="22"/>
          <w:lang w:val="en-US"/>
        </w:rPr>
        <w:t xml:space="preserve">Assess the geopolitical potential of major geopolitical actors. </w:t>
      </w:r>
    </w:p>
    <w:p w14:paraId="732BECE1" w14:textId="77777777" w:rsidR="00FE783B" w:rsidRPr="00FE783B" w:rsidRDefault="00FE783B" w:rsidP="00FE783B">
      <w:pPr>
        <w:widowControl w:val="0"/>
        <w:spacing w:before="240" w:after="240"/>
        <w:outlineLvl w:val="0"/>
        <w:rPr>
          <w:rFonts w:ascii="Arial" w:eastAsia="Arial" w:hAnsi="Arial" w:cs="Arial"/>
          <w:b/>
          <w:bCs/>
          <w:sz w:val="32"/>
          <w:szCs w:val="36"/>
          <w:lang w:val="en-US"/>
        </w:rPr>
      </w:pPr>
      <w:r w:rsidRPr="00FE783B">
        <w:rPr>
          <w:rFonts w:ascii="Arial" w:eastAsia="Arial" w:hAnsi="Arial" w:cs="Arial"/>
          <w:b/>
          <w:bCs/>
          <w:sz w:val="32"/>
          <w:szCs w:val="36"/>
          <w:lang w:val="en-US"/>
        </w:rPr>
        <w:t>Course outcomes the module contributes to:</w:t>
      </w:r>
    </w:p>
    <w:p w14:paraId="772B6387" w14:textId="77777777" w:rsidR="00FE783B" w:rsidRPr="00FE783B" w:rsidRDefault="00FE783B" w:rsidP="00FE783B">
      <w:pPr>
        <w:widowControl w:val="0"/>
        <w:numPr>
          <w:ilvl w:val="0"/>
          <w:numId w:val="4"/>
        </w:numPr>
        <w:spacing w:after="120"/>
        <w:contextualSpacing/>
        <w:jc w:val="both"/>
        <w:outlineLvl w:val="0"/>
        <w:rPr>
          <w:rFonts w:ascii="Arial" w:eastAsia="Arial" w:hAnsi="Arial" w:cs="Arial"/>
          <w:bCs/>
          <w:sz w:val="22"/>
          <w:szCs w:val="22"/>
          <w:lang w:val="en-US"/>
        </w:rPr>
      </w:pPr>
      <w:r w:rsidRPr="00FE783B">
        <w:rPr>
          <w:rFonts w:ascii="Arial" w:eastAsia="Arial" w:hAnsi="Arial" w:cs="Arial"/>
          <w:bCs/>
          <w:sz w:val="22"/>
          <w:szCs w:val="22"/>
          <w:lang w:val="en-US"/>
        </w:rPr>
        <w:t>L4.2 Competence in understanding rival accounts of the international system and the historical dimensions of global order.</w:t>
      </w:r>
    </w:p>
    <w:p w14:paraId="5696328B" w14:textId="77777777" w:rsidR="00FE783B" w:rsidRPr="00FE783B" w:rsidRDefault="00FE783B" w:rsidP="00FE783B">
      <w:pPr>
        <w:widowControl w:val="0"/>
        <w:numPr>
          <w:ilvl w:val="0"/>
          <w:numId w:val="4"/>
        </w:numPr>
        <w:spacing w:after="120"/>
        <w:contextualSpacing/>
        <w:jc w:val="both"/>
        <w:outlineLvl w:val="0"/>
        <w:rPr>
          <w:rFonts w:ascii="Arial" w:eastAsia="Arial" w:hAnsi="Arial" w:cs="Arial"/>
          <w:bCs/>
          <w:sz w:val="22"/>
          <w:szCs w:val="22"/>
          <w:lang w:val="en-US"/>
        </w:rPr>
      </w:pPr>
      <w:r w:rsidRPr="00FE783B">
        <w:rPr>
          <w:rFonts w:ascii="Arial" w:eastAsia="Arial" w:hAnsi="Arial" w:cs="Arial"/>
          <w:bCs/>
          <w:sz w:val="22"/>
          <w:szCs w:val="22"/>
          <w:lang w:val="en-US"/>
        </w:rPr>
        <w:t>L4.4 Appreciation of the value of critical thinking in assessing the diverse range of scholarly traditions within International Relations.</w:t>
      </w:r>
    </w:p>
    <w:p w14:paraId="5B1DEC1D" w14:textId="77777777" w:rsidR="00FE783B" w:rsidRPr="00FE783B" w:rsidRDefault="00FE783B" w:rsidP="00FE783B">
      <w:pPr>
        <w:widowControl w:val="0"/>
        <w:numPr>
          <w:ilvl w:val="0"/>
          <w:numId w:val="4"/>
        </w:numPr>
        <w:spacing w:after="120"/>
        <w:contextualSpacing/>
        <w:jc w:val="both"/>
        <w:outlineLvl w:val="0"/>
        <w:rPr>
          <w:rFonts w:ascii="Arial" w:eastAsia="Arial" w:hAnsi="Arial" w:cs="Arial"/>
          <w:bCs/>
          <w:sz w:val="22"/>
          <w:szCs w:val="22"/>
          <w:lang w:val="en-US"/>
        </w:rPr>
      </w:pPr>
      <w:r w:rsidRPr="00FE783B">
        <w:rPr>
          <w:rFonts w:ascii="Arial" w:eastAsia="Arial" w:hAnsi="Arial" w:cs="Arial"/>
          <w:sz w:val="22"/>
          <w:lang w:val="en-US"/>
        </w:rPr>
        <w:t>L4.7 An ability to take responsibility for their studies and professional development, especially as it relates to personal development planning (PDP) within a digitally networked world.</w:t>
      </w:r>
    </w:p>
    <w:p w14:paraId="25F80AC6" w14:textId="77777777" w:rsidR="00FE783B" w:rsidRPr="00FE783B" w:rsidRDefault="00FE783B" w:rsidP="00FE783B">
      <w:pPr>
        <w:widowControl w:val="0"/>
        <w:numPr>
          <w:ilvl w:val="0"/>
          <w:numId w:val="4"/>
        </w:numPr>
        <w:spacing w:after="120"/>
        <w:contextualSpacing/>
        <w:jc w:val="both"/>
        <w:outlineLvl w:val="0"/>
        <w:rPr>
          <w:rFonts w:ascii="Arial" w:eastAsia="Arial" w:hAnsi="Arial" w:cs="Arial"/>
          <w:bCs/>
          <w:sz w:val="22"/>
          <w:szCs w:val="22"/>
          <w:lang w:val="en-US"/>
        </w:rPr>
      </w:pPr>
      <w:r w:rsidRPr="00FE783B">
        <w:rPr>
          <w:rFonts w:ascii="Arial" w:eastAsia="Arial" w:hAnsi="Arial" w:cs="Arial"/>
          <w:sz w:val="22"/>
          <w:lang w:val="en-US"/>
        </w:rPr>
        <w:t>L4.8 A successful transition to the demands and expectations of university-level study.</w:t>
      </w:r>
    </w:p>
    <w:p w14:paraId="37C21988" w14:textId="77777777" w:rsidR="00FE783B" w:rsidRPr="00FE783B" w:rsidRDefault="00FE783B" w:rsidP="00FE783B">
      <w:pPr>
        <w:widowControl w:val="0"/>
        <w:numPr>
          <w:ilvl w:val="0"/>
          <w:numId w:val="4"/>
        </w:numPr>
        <w:spacing w:after="120"/>
        <w:contextualSpacing/>
        <w:jc w:val="both"/>
        <w:outlineLvl w:val="0"/>
        <w:rPr>
          <w:rFonts w:ascii="Arial" w:eastAsia="Arial" w:hAnsi="Arial" w:cs="Arial"/>
          <w:bCs/>
          <w:sz w:val="22"/>
          <w:szCs w:val="22"/>
          <w:lang w:val="en-US"/>
        </w:rPr>
      </w:pPr>
      <w:r w:rsidRPr="00FE783B">
        <w:rPr>
          <w:rFonts w:ascii="Arial" w:eastAsia="Arial" w:hAnsi="Arial" w:cs="Arial"/>
          <w:bCs/>
          <w:sz w:val="22"/>
          <w:szCs w:val="22"/>
          <w:lang w:val="en-US"/>
        </w:rPr>
        <w:t>L4.9 The ability to develop and sustain well-justified arguments through a range of media including writing, public speaking, and visual presentations.</w:t>
      </w:r>
    </w:p>
    <w:p w14:paraId="2C5A5AD0" w14:textId="77777777" w:rsidR="00FE783B" w:rsidRPr="00FE783B" w:rsidRDefault="00FE783B" w:rsidP="00FE783B">
      <w:pPr>
        <w:widowControl w:val="0"/>
        <w:spacing w:before="240" w:after="240"/>
        <w:outlineLvl w:val="0"/>
        <w:rPr>
          <w:rFonts w:ascii="Arial" w:eastAsia="Arial" w:hAnsi="Arial" w:cs="Arial"/>
          <w:b/>
          <w:bCs/>
          <w:sz w:val="32"/>
          <w:szCs w:val="36"/>
          <w:lang w:val="en-US"/>
        </w:rPr>
      </w:pPr>
      <w:r w:rsidRPr="00FE783B">
        <w:rPr>
          <w:rFonts w:ascii="Arial" w:eastAsia="Arial" w:hAnsi="Arial" w:cs="Arial"/>
          <w:b/>
          <w:bCs/>
          <w:sz w:val="32"/>
          <w:szCs w:val="36"/>
          <w:lang w:val="en-US"/>
        </w:rPr>
        <w:t>Indicative syllabus content</w:t>
      </w:r>
    </w:p>
    <w:p w14:paraId="215AA053"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 xml:space="preserve">Definition of Political Geography </w:t>
      </w:r>
    </w:p>
    <w:p w14:paraId="2CC563EC"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Geopolitics as a part of Political Geography</w:t>
      </w:r>
    </w:p>
    <w:p w14:paraId="2B97316C"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Dominant theories in political geography and political ideologies, political culture and legitimacy</w:t>
      </w:r>
    </w:p>
    <w:p w14:paraId="624FCA28"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lastRenderedPageBreak/>
        <w:t>History of geopolitics and history of the state</w:t>
      </w:r>
    </w:p>
    <w:p w14:paraId="2A0B5D23"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Structures, institutions, actors and processes in comparative perspective</w:t>
      </w:r>
    </w:p>
    <w:p w14:paraId="1100E42E"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Parties, social movements and their impact</w:t>
      </w:r>
      <w:sdt>
        <w:sdtPr>
          <w:rPr>
            <w:rFonts w:ascii="Arial" w:eastAsia="Arial" w:hAnsi="Arial" w:cs="Arial"/>
            <w:b/>
            <w:bCs/>
            <w:sz w:val="32"/>
            <w:szCs w:val="36"/>
            <w:lang w:val="en-US"/>
          </w:rPr>
          <w:tag w:val="goog_rdk_17"/>
          <w:id w:val="-1814085120"/>
          <w:showingPlcHdr/>
        </w:sdtPr>
        <w:sdtContent>
          <w:r w:rsidRPr="00FE783B">
            <w:rPr>
              <w:rFonts w:ascii="Arial" w:eastAsia="Arial" w:hAnsi="Arial" w:cs="Arial"/>
              <w:b/>
              <w:bCs/>
              <w:sz w:val="32"/>
              <w:szCs w:val="36"/>
              <w:lang w:val="en-US"/>
            </w:rPr>
            <w:t xml:space="preserve">     </w:t>
          </w:r>
        </w:sdtContent>
      </w:sdt>
    </w:p>
    <w:p w14:paraId="6A3E71BB"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European Union as the geopolitical actor</w:t>
      </w:r>
    </w:p>
    <w:p w14:paraId="789DF589"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G</w:t>
      </w:r>
      <w:sdt>
        <w:sdtPr>
          <w:rPr>
            <w:rFonts w:ascii="Arial" w:eastAsia="Arial" w:hAnsi="Arial" w:cs="Arial"/>
            <w:b/>
            <w:bCs/>
            <w:sz w:val="32"/>
            <w:szCs w:val="36"/>
            <w:lang w:val="en-US"/>
          </w:rPr>
          <w:tag w:val="goog_rdk_18"/>
          <w:id w:val="1532382958"/>
        </w:sdtPr>
        <w:sdtContent>
          <w:r w:rsidRPr="00FE783B">
            <w:rPr>
              <w:rFonts w:ascii="Arial" w:eastAsia="Arial" w:hAnsi="Arial" w:cs="Arial"/>
              <w:bCs/>
              <w:color w:val="000000"/>
              <w:sz w:val="22"/>
              <w:szCs w:val="22"/>
              <w:highlight w:val="white"/>
              <w:lang w:val="en-US"/>
            </w:rPr>
            <w:t>eopolitics of China, Russia and other, selected non-Western countries</w:t>
          </w:r>
        </w:sdtContent>
      </w:sdt>
    </w:p>
    <w:sdt>
      <w:sdtPr>
        <w:rPr>
          <w:rFonts w:ascii="Arial" w:eastAsia="Arial" w:hAnsi="Arial" w:cs="Arial"/>
          <w:b/>
          <w:bCs/>
          <w:sz w:val="32"/>
          <w:szCs w:val="36"/>
          <w:lang w:val="en-US"/>
        </w:rPr>
        <w:tag w:val="goog_rdk_22"/>
        <w:id w:val="657575756"/>
      </w:sdtPr>
      <w:sdtContent>
        <w:p w14:paraId="5EE18A78"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sdt>
            <w:sdtPr>
              <w:rPr>
                <w:rFonts w:ascii="Arial" w:eastAsia="Arial" w:hAnsi="Arial" w:cs="Arial"/>
                <w:b/>
                <w:bCs/>
                <w:sz w:val="32"/>
                <w:szCs w:val="36"/>
                <w:lang w:val="en-US"/>
              </w:rPr>
              <w:tag w:val="goog_rdk_19"/>
              <w:id w:val="1348902838"/>
            </w:sdtPr>
            <w:sdtContent>
              <w:r w:rsidRPr="00FE783B">
                <w:rPr>
                  <w:rFonts w:ascii="Arial" w:eastAsia="Arial" w:hAnsi="Arial" w:cs="Arial"/>
                  <w:bCs/>
                  <w:color w:val="000000"/>
                  <w:sz w:val="22"/>
                  <w:szCs w:val="22"/>
                  <w:highlight w:val="white"/>
                  <w:lang w:val="en-US"/>
                </w:rPr>
                <w:t>Geopolitics of the Central and Eastern Europe</w:t>
              </w:r>
            </w:sdtContent>
          </w:sdt>
          <w:sdt>
            <w:sdtPr>
              <w:rPr>
                <w:rFonts w:ascii="Arial" w:eastAsia="Arial" w:hAnsi="Arial" w:cs="Arial"/>
                <w:b/>
                <w:bCs/>
                <w:sz w:val="32"/>
                <w:szCs w:val="36"/>
                <w:lang w:val="en-US"/>
              </w:rPr>
              <w:tag w:val="goog_rdk_20"/>
              <w:id w:val="-1185278125"/>
            </w:sdtPr>
            <w:sdtContent>
              <w:sdt>
                <w:sdtPr>
                  <w:rPr>
                    <w:rFonts w:ascii="Arial" w:eastAsia="Arial" w:hAnsi="Arial" w:cs="Arial"/>
                    <w:b/>
                    <w:bCs/>
                    <w:sz w:val="32"/>
                    <w:szCs w:val="36"/>
                    <w:lang w:val="en-US"/>
                  </w:rPr>
                  <w:tag w:val="goog_rdk_21"/>
                  <w:id w:val="1541937504"/>
                </w:sdtPr>
                <w:sdtContent/>
              </w:sdt>
            </w:sdtContent>
          </w:sdt>
        </w:p>
      </w:sdtContent>
    </w:sdt>
    <w:sdt>
      <w:sdtPr>
        <w:rPr>
          <w:rFonts w:ascii="Arial" w:eastAsia="Arial" w:hAnsi="Arial" w:cs="Arial"/>
          <w:sz w:val="22"/>
          <w:szCs w:val="22"/>
          <w:lang w:val="en-US"/>
        </w:rPr>
        <w:tag w:val="goog_rdk_25"/>
        <w:id w:val="-530029052"/>
      </w:sdtPr>
      <w:sdtContent>
        <w:p w14:paraId="0D8A079F" w14:textId="77777777" w:rsidR="00FE783B" w:rsidRPr="00FE783B" w:rsidRDefault="00FE783B" w:rsidP="00FE783B">
          <w:pPr>
            <w:widowControl w:val="0"/>
            <w:numPr>
              <w:ilvl w:val="0"/>
              <w:numId w:val="2"/>
            </w:numPr>
            <w:spacing w:after="120"/>
            <w:contextualSpacing/>
            <w:rPr>
              <w:rFonts w:ascii="Arial" w:eastAsia="Arial" w:hAnsi="Arial" w:cs="Arial"/>
              <w:sz w:val="22"/>
              <w:szCs w:val="22"/>
              <w:lang w:val="en-US"/>
            </w:rPr>
          </w:pPr>
          <w:sdt>
            <w:sdtPr>
              <w:rPr>
                <w:rFonts w:ascii="Arial" w:eastAsia="Arial" w:hAnsi="Arial" w:cs="Arial"/>
                <w:sz w:val="22"/>
                <w:szCs w:val="22"/>
                <w:lang w:val="en-US"/>
              </w:rPr>
              <w:tag w:val="goog_rdk_23"/>
              <w:id w:val="1510178723"/>
            </w:sdtPr>
            <w:sdtContent>
              <w:sdt>
                <w:sdtPr>
                  <w:rPr>
                    <w:rFonts w:ascii="Arial" w:eastAsia="Arial" w:hAnsi="Arial" w:cs="Arial"/>
                    <w:sz w:val="22"/>
                    <w:szCs w:val="22"/>
                    <w:lang w:val="en-US"/>
                  </w:rPr>
                  <w:tag w:val="goog_rdk_24"/>
                  <w:id w:val="-312416585"/>
                </w:sdtPr>
                <w:sdtContent>
                  <w:r w:rsidRPr="00FE783B">
                    <w:rPr>
                      <w:rFonts w:ascii="Arial" w:eastAsia="Arial" w:hAnsi="Arial" w:cs="Arial"/>
                      <w:color w:val="000000"/>
                      <w:sz w:val="22"/>
                      <w:szCs w:val="22"/>
                      <w:highlight w:val="white"/>
                      <w:lang w:val="en-US"/>
                    </w:rPr>
                    <w:t>Comparison of classical and critical theories in political geography.</w:t>
                  </w:r>
                </w:sdtContent>
              </w:sdt>
            </w:sdtContent>
          </w:sdt>
        </w:p>
      </w:sdtContent>
    </w:sdt>
    <w:sdt>
      <w:sdtPr>
        <w:rPr>
          <w:rFonts w:ascii="Arial" w:eastAsia="Arial" w:hAnsi="Arial" w:cs="Arial"/>
          <w:b/>
          <w:bCs/>
          <w:sz w:val="32"/>
          <w:szCs w:val="36"/>
          <w:lang w:val="en-US"/>
        </w:rPr>
        <w:tag w:val="goog_rdk_29"/>
        <w:id w:val="826020411"/>
      </w:sdtPr>
      <w:sdtContent>
        <w:p w14:paraId="03531311" w14:textId="77777777" w:rsidR="00FE783B" w:rsidRPr="00FE783B" w:rsidRDefault="00FE783B" w:rsidP="00FE783B">
          <w:pPr>
            <w:widowControl w:val="0"/>
            <w:numPr>
              <w:ilvl w:val="0"/>
              <w:numId w:val="2"/>
            </w:numPr>
            <w:spacing w:after="120"/>
            <w:ind w:left="714" w:hanging="357"/>
            <w:contextualSpacing/>
            <w:jc w:val="both"/>
            <w:outlineLvl w:val="0"/>
            <w:rPr>
              <w:rFonts w:ascii="Arial" w:eastAsia="Arial" w:hAnsi="Arial" w:cs="Arial"/>
              <w:bCs/>
              <w:color w:val="000000"/>
              <w:sz w:val="22"/>
              <w:szCs w:val="22"/>
              <w:highlight w:val="white"/>
              <w:lang w:val="en-US"/>
            </w:rPr>
          </w:pPr>
          <w:sdt>
            <w:sdtPr>
              <w:rPr>
                <w:rFonts w:ascii="Arial" w:eastAsia="Arial" w:hAnsi="Arial" w:cs="Arial"/>
                <w:b/>
                <w:bCs/>
                <w:sz w:val="32"/>
                <w:szCs w:val="36"/>
                <w:lang w:val="en-US"/>
              </w:rPr>
              <w:tag w:val="goog_rdk_26"/>
              <w:id w:val="2100522526"/>
            </w:sdtPr>
            <w:sdtContent>
              <w:sdt>
                <w:sdtPr>
                  <w:rPr>
                    <w:rFonts w:ascii="Arial" w:eastAsia="Arial" w:hAnsi="Arial" w:cs="Arial"/>
                    <w:b/>
                    <w:bCs/>
                    <w:sz w:val="32"/>
                    <w:szCs w:val="36"/>
                    <w:lang w:val="en-US"/>
                  </w:rPr>
                  <w:tag w:val="goog_rdk_27"/>
                  <w:id w:val="25459586"/>
                </w:sdtPr>
                <w:sdtContent>
                  <w:r w:rsidRPr="00FE783B">
                    <w:rPr>
                      <w:rFonts w:ascii="Arial" w:eastAsia="Arial" w:hAnsi="Arial" w:cs="Arial"/>
                      <w:bCs/>
                      <w:color w:val="000000"/>
                      <w:sz w:val="22"/>
                      <w:szCs w:val="22"/>
                      <w:highlight w:val="white"/>
                      <w:lang w:val="en-US"/>
                    </w:rPr>
                    <w:t>Integration of rival theoretical perspectives, such as realism vs. constructivism in geopolitics.</w:t>
                  </w:r>
                </w:sdtContent>
              </w:sdt>
            </w:sdtContent>
          </w:sdt>
          <w:sdt>
            <w:sdtPr>
              <w:rPr>
                <w:rFonts w:ascii="Arial" w:eastAsia="Arial" w:hAnsi="Arial" w:cs="Arial"/>
                <w:b/>
                <w:bCs/>
                <w:sz w:val="32"/>
                <w:szCs w:val="36"/>
                <w:lang w:val="en-US"/>
              </w:rPr>
              <w:tag w:val="goog_rdk_28"/>
              <w:id w:val="-1057776319"/>
            </w:sdtPr>
            <w:sdtContent/>
          </w:sdt>
        </w:p>
      </w:sdtContent>
    </w:sdt>
    <w:p w14:paraId="250F1E69" w14:textId="77777777" w:rsidR="00FE783B" w:rsidRPr="00FE783B" w:rsidRDefault="00FE783B" w:rsidP="00FE783B">
      <w:pPr>
        <w:widowControl w:val="0"/>
        <w:spacing w:before="240" w:after="240"/>
        <w:outlineLvl w:val="0"/>
        <w:rPr>
          <w:rFonts w:ascii="Arial" w:eastAsia="Arial" w:hAnsi="Arial" w:cs="Arial"/>
          <w:b/>
          <w:bCs/>
          <w:sz w:val="32"/>
          <w:szCs w:val="36"/>
          <w:lang w:val="en-US"/>
        </w:rPr>
      </w:pPr>
      <w:r w:rsidRPr="00FE783B">
        <w:rPr>
          <w:rFonts w:ascii="Arial" w:eastAsia="Arial" w:hAnsi="Arial" w:cs="Arial"/>
          <w:b/>
          <w:bCs/>
          <w:sz w:val="32"/>
          <w:szCs w:val="36"/>
          <w:lang w:val="en-US"/>
        </w:rPr>
        <w:t>Teaching and learning methods</w:t>
      </w:r>
    </w:p>
    <w:p w14:paraId="500E7491" w14:textId="77777777" w:rsidR="00FE783B" w:rsidRPr="00FE783B" w:rsidRDefault="00FE783B" w:rsidP="00FE783B">
      <w:pPr>
        <w:pBdr>
          <w:top w:val="nil"/>
          <w:left w:val="nil"/>
          <w:bottom w:val="nil"/>
          <w:right w:val="nil"/>
          <w:between w:val="nil"/>
        </w:pBdr>
        <w:contextualSpacing/>
        <w:jc w:val="both"/>
        <w:rPr>
          <w:rFonts w:ascii="Arial" w:eastAsia="Arial" w:hAnsi="Arial" w:cs="Arial"/>
          <w:sz w:val="22"/>
          <w:szCs w:val="22"/>
          <w:lang w:val="en-US"/>
        </w:rPr>
      </w:pPr>
      <w:r w:rsidRPr="00FE783B">
        <w:rPr>
          <w:rFonts w:ascii="Arial" w:eastAsia="Arial" w:hAnsi="Arial" w:cs="Arial"/>
          <w:sz w:val="22"/>
          <w:szCs w:val="22"/>
          <w:lang w:val="en-US"/>
        </w:rPr>
        <w:t>The module is conducted in the form of lectures and workshops. Workshops provide an interactive environment where students engage in case studies, debates, and applied exercises to deepen their understanding of political geography and comparative politics. Active learning is achieved through structured debates, group problem-solving tasks, and collaborative analysis of real-world case studies. Media such as maps, datasets, and video clips are used to enrich discussions and allow students to visualize complex political and geographical issues. Debates are structured around specific topics, where students take on roles representing different perspectives, helping them develop critical thinking and argumentation skills. Lectures focus on discussions of assigned readings and theoretical frameworks, providing foundational knowledge that supports the workshop activities. Furthermore, students will receive supplementary reading materials for self-study.</w:t>
      </w:r>
    </w:p>
    <w:p w14:paraId="559AC806" w14:textId="77777777" w:rsidR="00FE783B" w:rsidRPr="00FE783B" w:rsidRDefault="00FE783B" w:rsidP="00FE783B">
      <w:pPr>
        <w:pBdr>
          <w:top w:val="nil"/>
          <w:left w:val="nil"/>
          <w:bottom w:val="nil"/>
          <w:right w:val="nil"/>
          <w:between w:val="nil"/>
        </w:pBdr>
        <w:contextualSpacing/>
        <w:jc w:val="both"/>
        <w:rPr>
          <w:rFonts w:ascii="Arial" w:eastAsia="Arial" w:hAnsi="Arial" w:cs="Arial"/>
          <w:sz w:val="22"/>
          <w:szCs w:val="22"/>
          <w:lang w:val="en-US"/>
        </w:rPr>
      </w:pPr>
    </w:p>
    <w:tbl>
      <w:tblPr>
        <w:tblW w:w="90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A0" w:firstRow="1" w:lastRow="0" w:firstColumn="1" w:lastColumn="0" w:noHBand="1" w:noVBand="1"/>
      </w:tblPr>
      <w:tblGrid>
        <w:gridCol w:w="5098"/>
        <w:gridCol w:w="1986"/>
        <w:gridCol w:w="1926"/>
      </w:tblGrid>
      <w:tr w:rsidR="00FE783B" w:rsidRPr="00FE783B" w14:paraId="527033D8" w14:textId="77777777" w:rsidTr="00FE71EB">
        <w:trPr>
          <w:cantSplit/>
          <w:trHeight w:val="397"/>
        </w:trPr>
        <w:tc>
          <w:tcPr>
            <w:tcW w:w="5098" w:type="dxa"/>
          </w:tcPr>
          <w:p w14:paraId="2DF876DB"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Activity type</w:t>
            </w:r>
          </w:p>
        </w:tc>
        <w:tc>
          <w:tcPr>
            <w:tcW w:w="1986" w:type="dxa"/>
          </w:tcPr>
          <w:p w14:paraId="2FF47FE2"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Category</w:t>
            </w:r>
          </w:p>
        </w:tc>
        <w:tc>
          <w:tcPr>
            <w:tcW w:w="1926" w:type="dxa"/>
          </w:tcPr>
          <w:p w14:paraId="51DAD026"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Student learning and teaching hours*</w:t>
            </w:r>
          </w:p>
        </w:tc>
      </w:tr>
      <w:tr w:rsidR="00FE783B" w:rsidRPr="00FE783B" w14:paraId="2509FF98" w14:textId="77777777" w:rsidTr="00FE71EB">
        <w:trPr>
          <w:cantSplit/>
          <w:trHeight w:val="397"/>
        </w:trPr>
        <w:tc>
          <w:tcPr>
            <w:tcW w:w="5098" w:type="dxa"/>
          </w:tcPr>
          <w:p w14:paraId="3581D0D8"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Lecture</w:t>
            </w:r>
          </w:p>
        </w:tc>
        <w:tc>
          <w:tcPr>
            <w:tcW w:w="1986" w:type="dxa"/>
          </w:tcPr>
          <w:p w14:paraId="5035AD1C"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363EDF51"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60</w:t>
            </w:r>
          </w:p>
        </w:tc>
      </w:tr>
      <w:tr w:rsidR="00FE783B" w:rsidRPr="00FE783B" w14:paraId="32724FF8" w14:textId="77777777" w:rsidTr="00FE71EB">
        <w:trPr>
          <w:cantSplit/>
          <w:trHeight w:val="397"/>
        </w:trPr>
        <w:tc>
          <w:tcPr>
            <w:tcW w:w="5098" w:type="dxa"/>
          </w:tcPr>
          <w:p w14:paraId="0B9F238B"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Seminar</w:t>
            </w:r>
          </w:p>
        </w:tc>
        <w:tc>
          <w:tcPr>
            <w:tcW w:w="1986" w:type="dxa"/>
          </w:tcPr>
          <w:p w14:paraId="73233D3F"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29F18B1B"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288F1261" w14:textId="77777777" w:rsidTr="00FE71EB">
        <w:trPr>
          <w:cantSplit/>
          <w:trHeight w:val="397"/>
        </w:trPr>
        <w:tc>
          <w:tcPr>
            <w:tcW w:w="5098" w:type="dxa"/>
          </w:tcPr>
          <w:p w14:paraId="6672A9AB"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Tutorial</w:t>
            </w:r>
          </w:p>
        </w:tc>
        <w:tc>
          <w:tcPr>
            <w:tcW w:w="1986" w:type="dxa"/>
          </w:tcPr>
          <w:p w14:paraId="57E3F763"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5F966AE1"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007660A0" w14:textId="77777777" w:rsidTr="00FE71EB">
        <w:trPr>
          <w:cantSplit/>
          <w:trHeight w:val="397"/>
        </w:trPr>
        <w:tc>
          <w:tcPr>
            <w:tcW w:w="5098" w:type="dxa"/>
          </w:tcPr>
          <w:p w14:paraId="13C0E882"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Project supervisor</w:t>
            </w:r>
          </w:p>
        </w:tc>
        <w:tc>
          <w:tcPr>
            <w:tcW w:w="1986" w:type="dxa"/>
          </w:tcPr>
          <w:p w14:paraId="6AA491D3"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467B3A3F"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5EE863F3" w14:textId="77777777" w:rsidTr="00FE71EB">
        <w:trPr>
          <w:cantSplit/>
          <w:trHeight w:val="397"/>
        </w:trPr>
        <w:tc>
          <w:tcPr>
            <w:tcW w:w="5098" w:type="dxa"/>
          </w:tcPr>
          <w:p w14:paraId="58659684"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Demonstration</w:t>
            </w:r>
          </w:p>
        </w:tc>
        <w:tc>
          <w:tcPr>
            <w:tcW w:w="1986" w:type="dxa"/>
          </w:tcPr>
          <w:p w14:paraId="4C4C2F3A"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21BCB13E"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115EAF94" w14:textId="77777777" w:rsidTr="00FE71EB">
        <w:trPr>
          <w:cantSplit/>
          <w:trHeight w:val="397"/>
        </w:trPr>
        <w:tc>
          <w:tcPr>
            <w:tcW w:w="5098" w:type="dxa"/>
          </w:tcPr>
          <w:p w14:paraId="144F459C"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Practical classes and workshops</w:t>
            </w:r>
          </w:p>
        </w:tc>
        <w:tc>
          <w:tcPr>
            <w:tcW w:w="1986" w:type="dxa"/>
          </w:tcPr>
          <w:p w14:paraId="402E2D77"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4693061F"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30</w:t>
            </w:r>
          </w:p>
        </w:tc>
      </w:tr>
      <w:tr w:rsidR="00FE783B" w:rsidRPr="00FE783B" w14:paraId="6140DA19" w14:textId="77777777" w:rsidTr="00FE71EB">
        <w:trPr>
          <w:cantSplit/>
          <w:trHeight w:val="397"/>
        </w:trPr>
        <w:tc>
          <w:tcPr>
            <w:tcW w:w="5098" w:type="dxa"/>
          </w:tcPr>
          <w:p w14:paraId="78826BD9"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Supervised time in studio/workshop</w:t>
            </w:r>
          </w:p>
        </w:tc>
        <w:tc>
          <w:tcPr>
            <w:tcW w:w="1986" w:type="dxa"/>
          </w:tcPr>
          <w:p w14:paraId="3E704EAE"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758743CC"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34A7311B" w14:textId="77777777" w:rsidTr="00FE71EB">
        <w:trPr>
          <w:cantSplit/>
          <w:trHeight w:val="397"/>
        </w:trPr>
        <w:tc>
          <w:tcPr>
            <w:tcW w:w="5098" w:type="dxa"/>
          </w:tcPr>
          <w:p w14:paraId="0FFBEDFE"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Fieldwork</w:t>
            </w:r>
          </w:p>
        </w:tc>
        <w:tc>
          <w:tcPr>
            <w:tcW w:w="1986" w:type="dxa"/>
          </w:tcPr>
          <w:p w14:paraId="4EE5D4E2"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6224B100"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57DEC6C7" w14:textId="77777777" w:rsidTr="00FE71EB">
        <w:trPr>
          <w:cantSplit/>
          <w:trHeight w:val="397"/>
        </w:trPr>
        <w:tc>
          <w:tcPr>
            <w:tcW w:w="5098" w:type="dxa"/>
          </w:tcPr>
          <w:p w14:paraId="0D13A610"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External visits</w:t>
            </w:r>
          </w:p>
        </w:tc>
        <w:tc>
          <w:tcPr>
            <w:tcW w:w="1986" w:type="dxa"/>
          </w:tcPr>
          <w:p w14:paraId="45D671B4"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4ED4E194"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27659405" w14:textId="77777777" w:rsidTr="00FE71EB">
        <w:trPr>
          <w:cantSplit/>
          <w:trHeight w:val="397"/>
        </w:trPr>
        <w:tc>
          <w:tcPr>
            <w:tcW w:w="5098" w:type="dxa"/>
          </w:tcPr>
          <w:p w14:paraId="187C9C3C"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Work based learning</w:t>
            </w:r>
          </w:p>
        </w:tc>
        <w:tc>
          <w:tcPr>
            <w:tcW w:w="1986" w:type="dxa"/>
          </w:tcPr>
          <w:p w14:paraId="7F825866"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46864082"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0F13F149" w14:textId="77777777" w:rsidTr="00FE71EB">
        <w:trPr>
          <w:cantSplit/>
          <w:trHeight w:val="397"/>
        </w:trPr>
        <w:tc>
          <w:tcPr>
            <w:tcW w:w="5098" w:type="dxa"/>
          </w:tcPr>
          <w:p w14:paraId="7EEC40A8"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Scheduled online learning</w:t>
            </w:r>
          </w:p>
        </w:tc>
        <w:tc>
          <w:tcPr>
            <w:tcW w:w="1986" w:type="dxa"/>
          </w:tcPr>
          <w:p w14:paraId="487959C1"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72750A2A"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3FEE8DDA" w14:textId="77777777" w:rsidTr="00FE71EB">
        <w:trPr>
          <w:cantSplit/>
          <w:trHeight w:val="397"/>
        </w:trPr>
        <w:tc>
          <w:tcPr>
            <w:tcW w:w="5098" w:type="dxa"/>
          </w:tcPr>
          <w:p w14:paraId="0B1C32F2"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Other learning</w:t>
            </w:r>
          </w:p>
        </w:tc>
        <w:tc>
          <w:tcPr>
            <w:tcW w:w="1986" w:type="dxa"/>
          </w:tcPr>
          <w:p w14:paraId="53DB34F2"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Scheduled</w:t>
            </w:r>
          </w:p>
        </w:tc>
        <w:tc>
          <w:tcPr>
            <w:tcW w:w="1926" w:type="dxa"/>
          </w:tcPr>
          <w:p w14:paraId="1B8B0940"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6C767352" w14:textId="77777777" w:rsidTr="00FE71EB">
        <w:trPr>
          <w:cantSplit/>
          <w:trHeight w:val="397"/>
        </w:trPr>
        <w:tc>
          <w:tcPr>
            <w:tcW w:w="5098" w:type="dxa"/>
          </w:tcPr>
          <w:p w14:paraId="3DC4C77A"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Total scheduled</w:t>
            </w:r>
          </w:p>
        </w:tc>
        <w:tc>
          <w:tcPr>
            <w:tcW w:w="1986" w:type="dxa"/>
          </w:tcPr>
          <w:p w14:paraId="412560A6"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c>
          <w:tcPr>
            <w:tcW w:w="1926" w:type="dxa"/>
          </w:tcPr>
          <w:p w14:paraId="51F9852A"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90</w:t>
            </w:r>
          </w:p>
        </w:tc>
      </w:tr>
      <w:tr w:rsidR="00FE783B" w:rsidRPr="00FE783B" w14:paraId="77361158" w14:textId="77777777" w:rsidTr="00FE71EB">
        <w:trPr>
          <w:cantSplit/>
          <w:trHeight w:val="397"/>
        </w:trPr>
        <w:tc>
          <w:tcPr>
            <w:tcW w:w="5098" w:type="dxa"/>
          </w:tcPr>
          <w:p w14:paraId="1733138B"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Placement</w:t>
            </w:r>
          </w:p>
        </w:tc>
        <w:tc>
          <w:tcPr>
            <w:tcW w:w="1986" w:type="dxa"/>
          </w:tcPr>
          <w:p w14:paraId="1D816DA0"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Placement</w:t>
            </w:r>
          </w:p>
        </w:tc>
        <w:tc>
          <w:tcPr>
            <w:tcW w:w="1926" w:type="dxa"/>
          </w:tcPr>
          <w:p w14:paraId="09575A76"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FE783B" w:rsidRPr="00FE783B" w14:paraId="238B8BA8" w14:textId="77777777" w:rsidTr="00FE71EB">
        <w:trPr>
          <w:cantSplit/>
          <w:trHeight w:val="397"/>
        </w:trPr>
        <w:tc>
          <w:tcPr>
            <w:tcW w:w="5098" w:type="dxa"/>
          </w:tcPr>
          <w:p w14:paraId="70444AD0"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Independent study</w:t>
            </w:r>
          </w:p>
        </w:tc>
        <w:tc>
          <w:tcPr>
            <w:tcW w:w="1986" w:type="dxa"/>
          </w:tcPr>
          <w:p w14:paraId="06F6F258"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Independent</w:t>
            </w:r>
          </w:p>
        </w:tc>
        <w:tc>
          <w:tcPr>
            <w:tcW w:w="1926" w:type="dxa"/>
          </w:tcPr>
          <w:p w14:paraId="4ABBD948"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110</w:t>
            </w:r>
          </w:p>
        </w:tc>
      </w:tr>
      <w:tr w:rsidR="00FE783B" w:rsidRPr="00FE783B" w14:paraId="3CB22AC3" w14:textId="77777777" w:rsidTr="00FE71EB">
        <w:trPr>
          <w:cantSplit/>
          <w:trHeight w:val="397"/>
        </w:trPr>
        <w:tc>
          <w:tcPr>
            <w:tcW w:w="5098" w:type="dxa"/>
          </w:tcPr>
          <w:p w14:paraId="3B79601B"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FE783B">
              <w:rPr>
                <w:rFonts w:ascii="Arial" w:eastAsia="Arial" w:hAnsi="Arial" w:cs="Arial"/>
                <w:color w:val="000000"/>
                <w:lang w:val="en-US"/>
              </w:rPr>
              <w:t>Total student learning and teaching hours</w:t>
            </w:r>
          </w:p>
        </w:tc>
        <w:tc>
          <w:tcPr>
            <w:tcW w:w="1986" w:type="dxa"/>
          </w:tcPr>
          <w:p w14:paraId="3A68CEDD"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p>
        </w:tc>
        <w:tc>
          <w:tcPr>
            <w:tcW w:w="1926" w:type="dxa"/>
          </w:tcPr>
          <w:p w14:paraId="61D4D311" w14:textId="77777777" w:rsidR="00FE783B" w:rsidRPr="00FE783B" w:rsidRDefault="00FE783B" w:rsidP="00FE783B">
            <w:pPr>
              <w:widowControl w:val="0"/>
              <w:pBdr>
                <w:top w:val="nil"/>
                <w:left w:val="nil"/>
                <w:bottom w:val="nil"/>
                <w:right w:val="nil"/>
                <w:between w:val="nil"/>
              </w:pBdr>
              <w:spacing w:before="80" w:after="80"/>
              <w:contextualSpacing/>
              <w:rPr>
                <w:rFonts w:ascii="Arial" w:eastAsia="Arial" w:hAnsi="Arial" w:cs="Arial"/>
                <w:color w:val="000000"/>
                <w:lang w:val="en-US"/>
              </w:rPr>
            </w:pPr>
            <w:r w:rsidRPr="00FE783B">
              <w:rPr>
                <w:rFonts w:ascii="Arial" w:eastAsia="Arial" w:hAnsi="Arial" w:cs="Arial"/>
                <w:color w:val="000000"/>
                <w:lang w:val="en-US"/>
              </w:rPr>
              <w:t>200</w:t>
            </w:r>
          </w:p>
        </w:tc>
      </w:tr>
    </w:tbl>
    <w:p w14:paraId="1A1F50C9" w14:textId="77777777" w:rsidR="00FE783B" w:rsidRPr="00FE783B" w:rsidRDefault="00FE783B" w:rsidP="00FE783B">
      <w:pPr>
        <w:widowControl w:val="0"/>
        <w:spacing w:before="120"/>
        <w:contextualSpacing/>
        <w:rPr>
          <w:rFonts w:ascii="Arial" w:eastAsia="Arial" w:hAnsi="Arial" w:cs="Arial"/>
          <w:sz w:val="22"/>
          <w:szCs w:val="22"/>
          <w:lang w:val="en-US"/>
        </w:rPr>
      </w:pPr>
      <w:r w:rsidRPr="00FE783B">
        <w:rPr>
          <w:rFonts w:ascii="Arial" w:eastAsia="Arial" w:hAnsi="Arial" w:cs="Arial"/>
          <w:sz w:val="22"/>
          <w:szCs w:val="22"/>
          <w:lang w:val="en-US"/>
        </w:rPr>
        <w:t>*</w:t>
      </w:r>
      <w:proofErr w:type="gramStart"/>
      <w:r w:rsidRPr="00FE783B">
        <w:rPr>
          <w:rFonts w:ascii="Arial" w:eastAsia="Arial" w:hAnsi="Arial" w:cs="Arial"/>
          <w:sz w:val="22"/>
          <w:szCs w:val="22"/>
          <w:lang w:val="en-US"/>
        </w:rPr>
        <w:t>hours</w:t>
      </w:r>
      <w:proofErr w:type="gramEnd"/>
      <w:r w:rsidRPr="00FE783B">
        <w:rPr>
          <w:rFonts w:ascii="Arial" w:eastAsia="Arial" w:hAnsi="Arial" w:cs="Arial"/>
          <w:sz w:val="22"/>
          <w:szCs w:val="22"/>
          <w:lang w:val="en-US"/>
        </w:rPr>
        <w:t xml:space="preserve"> per activity type are indicative and subject to change.</w:t>
      </w:r>
    </w:p>
    <w:p w14:paraId="3E6AEF9C" w14:textId="77777777" w:rsidR="00FE783B" w:rsidRPr="00FE783B" w:rsidRDefault="00FE783B" w:rsidP="00FE783B">
      <w:pPr>
        <w:widowControl w:val="0"/>
        <w:spacing w:after="120"/>
        <w:contextualSpacing/>
        <w:rPr>
          <w:rFonts w:ascii="Arial" w:eastAsia="Arial" w:hAnsi="Arial" w:cs="Arial"/>
          <w:sz w:val="22"/>
          <w:szCs w:val="22"/>
          <w:lang w:val="en-US"/>
        </w:rPr>
      </w:pPr>
    </w:p>
    <w:p w14:paraId="2776FD2E" w14:textId="77777777" w:rsidR="00FE783B" w:rsidRPr="00FE783B" w:rsidRDefault="00FE783B" w:rsidP="00FE783B">
      <w:pPr>
        <w:widowControl w:val="0"/>
        <w:spacing w:before="240" w:after="240"/>
        <w:outlineLvl w:val="0"/>
        <w:rPr>
          <w:rFonts w:ascii="Arial" w:eastAsia="Arial" w:hAnsi="Arial" w:cs="Arial"/>
          <w:b/>
          <w:bCs/>
          <w:sz w:val="32"/>
          <w:szCs w:val="36"/>
          <w:lang w:val="en-US"/>
        </w:rPr>
      </w:pPr>
      <w:r w:rsidRPr="00FE783B">
        <w:rPr>
          <w:rFonts w:ascii="Arial" w:eastAsia="Arial" w:hAnsi="Arial" w:cs="Arial"/>
          <w:b/>
          <w:bCs/>
          <w:sz w:val="32"/>
          <w:szCs w:val="36"/>
          <w:lang w:val="en-US"/>
        </w:rPr>
        <w:t>Assessment rationale: why has this assessment been used for this module?</w:t>
      </w:r>
    </w:p>
    <w:p w14:paraId="1ADB8875" w14:textId="77777777" w:rsidR="00FE783B" w:rsidRPr="00FE783B" w:rsidRDefault="00FE783B" w:rsidP="00FE783B">
      <w:pPr>
        <w:widowControl w:val="0"/>
        <w:spacing w:before="240" w:after="240"/>
        <w:jc w:val="both"/>
        <w:outlineLvl w:val="0"/>
        <w:rPr>
          <w:rFonts w:ascii="Arial" w:eastAsia="Arial" w:hAnsi="Arial" w:cs="Arial"/>
          <w:b/>
          <w:color w:val="000000"/>
          <w:sz w:val="22"/>
          <w:szCs w:val="22"/>
          <w:highlight w:val="white"/>
          <w:lang w:val="en-US"/>
        </w:rPr>
      </w:pPr>
      <w:r w:rsidRPr="00FE783B">
        <w:rPr>
          <w:rFonts w:ascii="Arial" w:eastAsia="Arial" w:hAnsi="Arial" w:cs="Arial"/>
          <w:b/>
          <w:color w:val="000000"/>
          <w:sz w:val="22"/>
          <w:szCs w:val="22"/>
          <w:highlight w:val="white"/>
          <w:lang w:val="en-US"/>
        </w:rPr>
        <w:t>Group PP presentation</w:t>
      </w:r>
      <w:r w:rsidRPr="00FE783B">
        <w:rPr>
          <w:rFonts w:ascii="Arial" w:eastAsia="Arial" w:hAnsi="Arial" w:cs="Arial"/>
          <w:bCs/>
          <w:color w:val="000000"/>
          <w:sz w:val="22"/>
          <w:szCs w:val="22"/>
          <w:highlight w:val="white"/>
          <w:lang w:val="en-US"/>
        </w:rPr>
        <w:t>: students working in pairs or in groups of three will be allocated a research topic that has a testable hypothesis and methods for its verification and that is to be presented in the class. It will be used to spark class discussions, encourage peer feedback, and allow for deeper engagement with key political geography concepts.</w:t>
      </w:r>
      <w:r w:rsidRPr="00FE783B">
        <w:rPr>
          <w:rFonts w:ascii="Arial" w:eastAsia="Arial" w:hAnsi="Arial" w:cs="Arial"/>
          <w:b/>
          <w:bCs/>
          <w:color w:val="000000"/>
          <w:sz w:val="22"/>
          <w:szCs w:val="22"/>
          <w:highlight w:val="white"/>
          <w:lang w:val="en-US"/>
        </w:rPr>
        <w:t xml:space="preserve"> </w:t>
      </w:r>
      <w:r w:rsidRPr="00FE783B">
        <w:rPr>
          <w:rFonts w:ascii="Arial" w:eastAsia="Arial" w:hAnsi="Arial" w:cs="Arial"/>
          <w:bCs/>
          <w:color w:val="000000"/>
          <w:sz w:val="22"/>
          <w:szCs w:val="22"/>
          <w:highlight w:val="white"/>
          <w:lang w:val="en-US"/>
        </w:rPr>
        <w:t xml:space="preserve">The presentation will last 20 minutes for pairs and 30 minutes for groups of three, with each student given equal speaking time and assessed individually. The presentations will be followed by a brief Q&amp;A session, helping students develop skills for real-life public engagement. This process will assess their communication skills, analytical thinking, and ability to apply theoretical concepts to case studies, enhancing public speaking, critical analysis, and problem-solving. These skills boost employability in fields such as diplomacy, international organizations, business, consulting, policy analysis, public affairs, lobbying, and related careers, where clear communication and critical thinking are essential. </w:t>
      </w:r>
      <w:r w:rsidRPr="00FE783B">
        <w:rPr>
          <w:rFonts w:ascii="Arial" w:eastAsia="Arial" w:hAnsi="Arial" w:cs="Arial"/>
          <w:bCs/>
          <w:color w:val="000000"/>
          <w:sz w:val="22"/>
          <w:szCs w:val="22"/>
          <w:lang w:val="en-US"/>
        </w:rPr>
        <w:t>This assessment directly addresses LOs 2 and 3.</w:t>
      </w:r>
    </w:p>
    <w:p w14:paraId="730EB390" w14:textId="77777777" w:rsidR="00FE783B" w:rsidRPr="00FE783B" w:rsidRDefault="00FE783B" w:rsidP="00FE783B">
      <w:pPr>
        <w:widowControl w:val="0"/>
        <w:spacing w:before="240" w:after="240"/>
        <w:jc w:val="both"/>
        <w:outlineLvl w:val="0"/>
        <w:rPr>
          <w:rFonts w:ascii="Arial" w:eastAsia="Arial" w:hAnsi="Arial" w:cs="Arial"/>
          <w:color w:val="000000"/>
          <w:sz w:val="22"/>
          <w:szCs w:val="22"/>
          <w:highlight w:val="white"/>
          <w:lang w:val="en-US"/>
        </w:rPr>
      </w:pPr>
      <w:r w:rsidRPr="00FE783B">
        <w:rPr>
          <w:rFonts w:ascii="Arial" w:eastAsia="Arial" w:hAnsi="Arial" w:cs="Arial"/>
          <w:b/>
          <w:bCs/>
          <w:color w:val="000000"/>
          <w:sz w:val="22"/>
          <w:szCs w:val="22"/>
          <w:highlight w:val="white"/>
          <w:lang w:val="en-US"/>
        </w:rPr>
        <w:t>Policy brief</w:t>
      </w:r>
      <w:r w:rsidRPr="00FE783B">
        <w:rPr>
          <w:rFonts w:ascii="Arial" w:eastAsia="Arial" w:hAnsi="Arial" w:cs="Arial"/>
          <w:color w:val="000000"/>
          <w:sz w:val="22"/>
          <w:szCs w:val="22"/>
          <w:highlight w:val="white"/>
          <w:lang w:val="en-US"/>
        </w:rPr>
        <w:t xml:space="preserve"> (1000 words) assesses students' understanding of real-world global issues by prompting them to explore current challenges and debates. Students are assigned a specific topic, allowing them to focus on a relevant issue within the scope of </w:t>
      </w:r>
      <w:proofErr w:type="gramStart"/>
      <w:r w:rsidRPr="00FE783B">
        <w:rPr>
          <w:rFonts w:ascii="Arial" w:eastAsia="Arial" w:hAnsi="Arial" w:cs="Arial"/>
          <w:color w:val="000000"/>
          <w:sz w:val="22"/>
          <w:szCs w:val="22"/>
          <w:highlight w:val="white"/>
          <w:lang w:val="en-US"/>
        </w:rPr>
        <w:t xml:space="preserve">the </w:t>
      </w:r>
      <w:r w:rsidRPr="00FE783B">
        <w:rPr>
          <w:rFonts w:ascii="Arial" w:eastAsia="Arial" w:hAnsi="Arial" w:cs="Arial"/>
          <w:b/>
          <w:bCs/>
          <w:color w:val="0078D4"/>
          <w:sz w:val="22"/>
          <w:szCs w:val="22"/>
          <w:lang w:val="en-US"/>
        </w:rPr>
        <w:t xml:space="preserve"> </w:t>
      </w:r>
      <w:r w:rsidRPr="00FE783B">
        <w:rPr>
          <w:rFonts w:ascii="Arial" w:eastAsia="Arial" w:hAnsi="Arial" w:cs="Arial"/>
          <w:sz w:val="22"/>
          <w:szCs w:val="22"/>
          <w:lang w:val="en-US"/>
        </w:rPr>
        <w:t>module</w:t>
      </w:r>
      <w:proofErr w:type="gramEnd"/>
      <w:r w:rsidRPr="00FE783B">
        <w:rPr>
          <w:rFonts w:ascii="Arial" w:eastAsia="Arial" w:hAnsi="Arial" w:cs="Arial"/>
          <w:sz w:val="22"/>
          <w:szCs w:val="22"/>
          <w:highlight w:val="white"/>
          <w:lang w:val="en-US"/>
        </w:rPr>
        <w:t xml:space="preserve">. </w:t>
      </w:r>
      <w:r w:rsidRPr="00FE783B">
        <w:rPr>
          <w:rFonts w:ascii="Arial" w:eastAsia="Arial" w:hAnsi="Arial" w:cs="Arial"/>
          <w:color w:val="000000"/>
          <w:sz w:val="22"/>
          <w:szCs w:val="22"/>
          <w:highlight w:val="white"/>
          <w:lang w:val="en-US"/>
        </w:rPr>
        <w:t>They will have one week to prepare the brief and will receive feedback from the teacher. This assignment develops their ability to synthesize research into concise, practical documents aimed at decision-makers, refining their skills in translating theoretical analysis into professional writing. It also trains them to express ideas clearly and succinctly—an essential skill in fields such as policy analysis, journalism, intelligence, corporate communications, legal advisory, international organizations, and consulting, where drafting concise reports under time constraints is a key skill, enhancing their employability across these sectors. This assessment covers LOs 5 and 6.</w:t>
      </w:r>
    </w:p>
    <w:p w14:paraId="160B8AF5" w14:textId="77777777" w:rsidR="00FE783B" w:rsidRPr="00FE783B" w:rsidRDefault="00FE783B" w:rsidP="00FE783B">
      <w:pPr>
        <w:widowControl w:val="0"/>
        <w:spacing w:before="240" w:after="240"/>
        <w:jc w:val="both"/>
        <w:outlineLvl w:val="0"/>
        <w:rPr>
          <w:rFonts w:ascii="Arial" w:eastAsia="Arial" w:hAnsi="Arial" w:cs="Arial"/>
          <w:bCs/>
          <w:color w:val="000000"/>
          <w:sz w:val="22"/>
          <w:szCs w:val="22"/>
          <w:highlight w:val="white"/>
          <w:lang w:val="en-US"/>
        </w:rPr>
      </w:pPr>
      <w:r w:rsidRPr="00FE783B">
        <w:rPr>
          <w:rFonts w:ascii="Arial" w:eastAsia="Arial" w:hAnsi="Arial" w:cs="Arial"/>
          <w:bCs/>
          <w:color w:val="000000"/>
          <w:sz w:val="22"/>
          <w:szCs w:val="22"/>
          <w:highlight w:val="white"/>
          <w:lang w:val="en-US"/>
        </w:rPr>
        <w:t>Students will also be informed about the ethical considerations of AI usage in preparing their presentation and policy briefs. They may use it for tasks such as preliminary research, literature inquiry, brainstorming ideas, fact-checking, cross-referencing sources, and preparing for potential Q&amp;A sessions.</w:t>
      </w:r>
    </w:p>
    <w:p w14:paraId="53DEA535" w14:textId="77777777" w:rsidR="00FE783B" w:rsidRPr="00FE783B" w:rsidRDefault="00FE783B" w:rsidP="00FE783B">
      <w:pPr>
        <w:widowControl w:val="0"/>
        <w:spacing w:before="240" w:after="240"/>
        <w:jc w:val="both"/>
        <w:outlineLvl w:val="0"/>
        <w:rPr>
          <w:rFonts w:ascii="Arial" w:eastAsia="Arial" w:hAnsi="Arial" w:cs="Arial"/>
          <w:bCs/>
          <w:color w:val="000000"/>
          <w:sz w:val="22"/>
          <w:szCs w:val="22"/>
          <w:highlight w:val="white"/>
          <w:lang w:val="en-US"/>
        </w:rPr>
      </w:pPr>
      <w:r w:rsidRPr="00FE783B">
        <w:rPr>
          <w:rFonts w:ascii="Arial" w:eastAsia="Arial" w:hAnsi="Arial" w:cs="Arial"/>
          <w:b/>
          <w:color w:val="000000"/>
          <w:sz w:val="22"/>
          <w:szCs w:val="22"/>
          <w:highlight w:val="white"/>
          <w:lang w:val="en-US"/>
        </w:rPr>
        <w:t>The final exam</w:t>
      </w:r>
      <w:r w:rsidRPr="00FE783B">
        <w:rPr>
          <w:rFonts w:ascii="Arial" w:eastAsia="Arial" w:hAnsi="Arial" w:cs="Arial"/>
          <w:bCs/>
          <w:color w:val="000000"/>
          <w:sz w:val="22"/>
          <w:szCs w:val="22"/>
          <w:highlight w:val="white"/>
          <w:lang w:val="en-US"/>
        </w:rPr>
        <w:t xml:space="preserve"> (90 minutes), consisting of two policy-relevant essay-type questions, is designed to assess students' knowledge and understanding of key concepts covered in the module. It evaluates their ability to apply theoretical frameworks to complex geopolitical challenges, testing critical thinking, synthesis of information, and the application of knowledge.</w:t>
      </w:r>
      <w:r w:rsidRPr="00FE783B">
        <w:rPr>
          <w:rFonts w:ascii="Arial" w:eastAsia="Arial" w:hAnsi="Arial" w:cs="Arial"/>
          <w:sz w:val="22"/>
          <w:szCs w:val="22"/>
          <w:shd w:val="clear" w:color="auto" w:fill="FFFFFF"/>
          <w:lang w:val="en-US"/>
        </w:rPr>
        <w:t xml:space="preserve"> </w:t>
      </w:r>
      <w:r w:rsidRPr="00FE783B">
        <w:rPr>
          <w:rFonts w:ascii="Arial" w:eastAsia="Arial" w:hAnsi="Arial" w:cs="Arial"/>
          <w:bCs/>
          <w:color w:val="000000"/>
          <w:sz w:val="22"/>
          <w:szCs w:val="22"/>
          <w:highlight w:val="white"/>
          <w:lang w:val="en-US"/>
        </w:rPr>
        <w:t xml:space="preserve">The final exam covers LOs </w:t>
      </w:r>
      <w:r w:rsidRPr="00FE783B">
        <w:rPr>
          <w:rFonts w:ascii="Arial" w:eastAsia="Arial" w:hAnsi="Arial" w:cs="Arial"/>
          <w:bCs/>
          <w:color w:val="000000"/>
          <w:sz w:val="22"/>
          <w:szCs w:val="22"/>
          <w:lang w:val="en-US"/>
        </w:rPr>
        <w:t>1, 4 and 5.</w:t>
      </w:r>
    </w:p>
    <w:p w14:paraId="1F74B1AE" w14:textId="77777777" w:rsidR="00FE783B" w:rsidRPr="00FE783B" w:rsidRDefault="00FE783B" w:rsidP="00FE783B">
      <w:pPr>
        <w:widowControl w:val="0"/>
        <w:spacing w:before="240" w:after="240"/>
        <w:outlineLvl w:val="0"/>
        <w:rPr>
          <w:rFonts w:ascii="Arial" w:eastAsia="Arial" w:hAnsi="Arial" w:cs="Arial"/>
          <w:b/>
          <w:bCs/>
          <w:sz w:val="32"/>
          <w:szCs w:val="36"/>
          <w:lang w:val="en-US"/>
        </w:rPr>
      </w:pPr>
      <w:r w:rsidRPr="00FE783B">
        <w:rPr>
          <w:rFonts w:ascii="Arial" w:eastAsia="Arial" w:hAnsi="Arial" w:cs="Arial"/>
          <w:b/>
          <w:bCs/>
          <w:sz w:val="32"/>
          <w:szCs w:val="36"/>
          <w:lang w:val="en-US"/>
        </w:rPr>
        <w:t>Assessment criteria: what criteria will be used to assess my work on this module?</w:t>
      </w:r>
    </w:p>
    <w:p w14:paraId="5AD1285E" w14:textId="77777777" w:rsidR="00FE783B" w:rsidRPr="00FE783B" w:rsidRDefault="00FE783B" w:rsidP="00FE783B">
      <w:pPr>
        <w:widowControl w:val="0"/>
        <w:spacing w:after="120"/>
        <w:jc w:val="both"/>
        <w:rPr>
          <w:rFonts w:ascii="Arial" w:eastAsia="Arial" w:hAnsi="Arial" w:cs="Arial"/>
          <w:b/>
          <w:bCs/>
          <w:sz w:val="22"/>
          <w:szCs w:val="22"/>
          <w:lang w:val="en-US"/>
        </w:rPr>
      </w:pPr>
      <w:r w:rsidRPr="00FE783B">
        <w:rPr>
          <w:rFonts w:ascii="Arial" w:eastAsia="Arial" w:hAnsi="Arial" w:cs="Arial"/>
          <w:b/>
          <w:bCs/>
          <w:sz w:val="22"/>
          <w:szCs w:val="22"/>
          <w:lang w:val="en-US"/>
        </w:rPr>
        <w:t xml:space="preserve">Group PP Presentations: </w:t>
      </w:r>
      <w:r w:rsidRPr="00FE783B">
        <w:rPr>
          <w:rFonts w:ascii="Arial" w:eastAsia="Arial" w:hAnsi="Arial" w:cs="Arial"/>
          <w:sz w:val="22"/>
          <w:szCs w:val="22"/>
          <w:lang w:val="en-US"/>
        </w:rPr>
        <w:t>Each student will be assessed individually, based on the following criteria, each worth 20%: (1) clarity of explanation, (2) use of sources, (3) quality of argument and analysis, (4) contextual understanding and factual accuracy, and (5) ability to answer questions.</w:t>
      </w:r>
    </w:p>
    <w:p w14:paraId="250674EB" w14:textId="77777777" w:rsidR="00FE783B" w:rsidRPr="00FE783B" w:rsidRDefault="00FE783B" w:rsidP="00FE783B">
      <w:pPr>
        <w:widowControl w:val="0"/>
        <w:spacing w:after="120"/>
        <w:jc w:val="both"/>
        <w:rPr>
          <w:rFonts w:ascii="Arial" w:eastAsia="Arial" w:hAnsi="Arial" w:cs="Arial"/>
          <w:sz w:val="22"/>
          <w:szCs w:val="22"/>
          <w:lang w:val="en-US"/>
        </w:rPr>
      </w:pPr>
      <w:r w:rsidRPr="00FE783B">
        <w:rPr>
          <w:rFonts w:ascii="Arial" w:eastAsia="Arial" w:hAnsi="Arial" w:cs="Arial"/>
          <w:b/>
          <w:bCs/>
          <w:sz w:val="22"/>
          <w:szCs w:val="22"/>
          <w:lang w:val="en-US"/>
        </w:rPr>
        <w:t xml:space="preserve">Policy brief: </w:t>
      </w:r>
      <w:r w:rsidRPr="00FE783B">
        <w:rPr>
          <w:rFonts w:ascii="Arial" w:eastAsia="Arial" w:hAnsi="Arial" w:cs="Arial"/>
          <w:sz w:val="22"/>
          <w:szCs w:val="22"/>
          <w:lang w:val="en-US"/>
        </w:rPr>
        <w:t>Policy briefs will be assessed based on the following criteria: (1) clarity and structure, (2) analytical depth and evidence, (3) relevance and practicality of recommendations, (4) consideration of stakeholders and context, (5) writing quality.</w:t>
      </w:r>
    </w:p>
    <w:p w14:paraId="03C01BE3" w14:textId="77777777" w:rsidR="00FE783B" w:rsidRPr="00FE783B" w:rsidRDefault="00FE783B" w:rsidP="00FE783B">
      <w:pPr>
        <w:widowControl w:val="0"/>
        <w:spacing w:after="120"/>
        <w:jc w:val="both"/>
        <w:rPr>
          <w:rFonts w:ascii="Arial" w:eastAsia="Arial" w:hAnsi="Arial" w:cs="Arial"/>
          <w:sz w:val="22"/>
          <w:szCs w:val="22"/>
          <w:lang w:val="en-US"/>
        </w:rPr>
      </w:pPr>
      <w:r w:rsidRPr="00FE783B">
        <w:rPr>
          <w:rFonts w:ascii="Arial" w:eastAsia="Arial" w:hAnsi="Arial" w:cs="Arial"/>
          <w:b/>
          <w:bCs/>
          <w:sz w:val="22"/>
          <w:szCs w:val="22"/>
          <w:lang w:val="en-US"/>
        </w:rPr>
        <w:t xml:space="preserve">Final exam: </w:t>
      </w:r>
      <w:r w:rsidRPr="00FE783B">
        <w:rPr>
          <w:rFonts w:ascii="Arial" w:eastAsia="Arial" w:hAnsi="Arial" w:cs="Arial"/>
          <w:sz w:val="22"/>
          <w:szCs w:val="22"/>
          <w:lang w:val="en-US"/>
        </w:rPr>
        <w:t xml:space="preserve">The final exam will be assessed based on: (1) relevance and precision – ability </w:t>
      </w:r>
      <w:r w:rsidRPr="00FE783B">
        <w:rPr>
          <w:rFonts w:ascii="Arial" w:eastAsia="Arial" w:hAnsi="Arial" w:cs="Arial"/>
          <w:sz w:val="22"/>
          <w:szCs w:val="22"/>
          <w:lang w:val="en-US"/>
        </w:rPr>
        <w:lastRenderedPageBreak/>
        <w:t>to directly address the exam questions with concise and well-structured responses, (2) analytical depth –quality of analysis, critical thinking, and application of relevant concepts, (3) policy application and practical insight – for the policy-oriented question, the ability to formulate clear, evidence-based, and actionable recommendations, (4) use of theoretical and empirical perspectives – for the research-oriented question, the ability to synthesize information and apply relevant frameworks, (5) clarity and coherence – logical structure, readability, and effectiveness in communicating.</w:t>
      </w:r>
      <w:r w:rsidRPr="00FE783B">
        <w:rPr>
          <w:rFonts w:ascii="Arial" w:eastAsia="Arial" w:hAnsi="Arial" w:cs="Arial"/>
          <w:sz w:val="22"/>
          <w:szCs w:val="22"/>
          <w:shd w:val="clear" w:color="auto" w:fill="FFFFFF"/>
          <w:lang w:val="en-US"/>
        </w:rPr>
        <w:t xml:space="preserve"> </w:t>
      </w:r>
    </w:p>
    <w:p w14:paraId="7BFA95FF" w14:textId="77777777" w:rsidR="00FE783B" w:rsidRPr="00FE783B" w:rsidRDefault="00FE783B" w:rsidP="00FE783B">
      <w:pPr>
        <w:widowControl w:val="0"/>
        <w:contextualSpacing/>
        <w:jc w:val="both"/>
        <w:rPr>
          <w:rFonts w:ascii="Arial" w:eastAsia="Arial" w:hAnsi="Arial" w:cs="Arial"/>
          <w:sz w:val="22"/>
          <w:szCs w:val="22"/>
          <w:lang w:val="en-US"/>
        </w:rPr>
      </w:pPr>
    </w:p>
    <w:p w14:paraId="5759633A" w14:textId="77777777" w:rsidR="00FE783B" w:rsidRPr="00FE783B" w:rsidRDefault="00FE783B" w:rsidP="00FE783B">
      <w:pPr>
        <w:widowControl w:val="0"/>
        <w:contextualSpacing/>
        <w:rPr>
          <w:rFonts w:ascii="Arial" w:eastAsia="Arial" w:hAnsi="Arial" w:cs="Arial"/>
          <w:sz w:val="22"/>
          <w:szCs w:val="22"/>
          <w:lang w:val="en-US"/>
        </w:rPr>
      </w:pPr>
      <w:r w:rsidRPr="00FE783B">
        <w:rPr>
          <w:rFonts w:ascii="Arial" w:eastAsia="Arial" w:hAnsi="Arial" w:cs="Arial"/>
          <w:sz w:val="22"/>
          <w:szCs w:val="22"/>
          <w:lang w:val="en-US"/>
        </w:rPr>
        <w:t>The assessment(s) will examine to what extent the student has demonstrated ability to:</w:t>
      </w:r>
    </w:p>
    <w:p w14:paraId="1B409133" w14:textId="77777777" w:rsidR="00FE783B" w:rsidRPr="00FE783B" w:rsidRDefault="00FE783B" w:rsidP="00FE783B">
      <w:pPr>
        <w:widowControl w:val="0"/>
        <w:spacing w:after="120"/>
        <w:contextualSpacing/>
        <w:rPr>
          <w:rFonts w:ascii="Arial" w:eastAsia="Arial" w:hAnsi="Arial" w:cs="Arial"/>
          <w:sz w:val="22"/>
          <w:szCs w:val="22"/>
          <w:lang w:val="en-US"/>
        </w:rPr>
      </w:pPr>
    </w:p>
    <w:p w14:paraId="170EFEF0" w14:textId="77777777" w:rsidR="00FE783B" w:rsidRPr="00FE783B" w:rsidRDefault="00FE783B" w:rsidP="00FE783B">
      <w:pPr>
        <w:widowControl w:val="0"/>
        <w:numPr>
          <w:ilvl w:val="0"/>
          <w:numId w:val="3"/>
        </w:numPr>
        <w:pBdr>
          <w:top w:val="nil"/>
          <w:left w:val="nil"/>
          <w:bottom w:val="nil"/>
          <w:right w:val="nil"/>
          <w:between w:val="nil"/>
        </w:pBdr>
        <w:spacing w:after="120"/>
        <w:contextualSpacing/>
        <w:rPr>
          <w:rFonts w:ascii="Arial" w:eastAsia="Arial" w:hAnsi="Arial" w:cs="Arial"/>
          <w:color w:val="000000"/>
          <w:sz w:val="22"/>
          <w:szCs w:val="22"/>
          <w:highlight w:val="white"/>
          <w:lang w:val="en-US"/>
        </w:rPr>
      </w:pPr>
      <w:r w:rsidRPr="00FE783B">
        <w:rPr>
          <w:rFonts w:ascii="Arial" w:eastAsia="Arial" w:hAnsi="Arial" w:cs="Arial"/>
          <w:color w:val="000000"/>
          <w:sz w:val="22"/>
          <w:szCs w:val="22"/>
          <w:highlight w:val="white"/>
          <w:lang w:val="en-US"/>
        </w:rPr>
        <w:t>Conduct a comprehensive analysis of interconnections between Political Geography and Geopolitics</w:t>
      </w:r>
    </w:p>
    <w:p w14:paraId="3556F383" w14:textId="77777777" w:rsidR="00FE783B" w:rsidRPr="00FE783B" w:rsidRDefault="00FE783B" w:rsidP="00FE783B">
      <w:pPr>
        <w:widowControl w:val="0"/>
        <w:numPr>
          <w:ilvl w:val="0"/>
          <w:numId w:val="3"/>
        </w:numPr>
        <w:pBdr>
          <w:top w:val="nil"/>
          <w:left w:val="nil"/>
          <w:bottom w:val="nil"/>
          <w:right w:val="nil"/>
          <w:between w:val="nil"/>
        </w:pBdr>
        <w:spacing w:after="120"/>
        <w:contextualSpacing/>
        <w:rPr>
          <w:rFonts w:ascii="Arial" w:eastAsia="Arial" w:hAnsi="Arial" w:cs="Arial"/>
          <w:color w:val="000000"/>
          <w:sz w:val="22"/>
          <w:szCs w:val="22"/>
          <w:highlight w:val="white"/>
          <w:lang w:val="en-US"/>
        </w:rPr>
      </w:pPr>
      <w:r w:rsidRPr="00FE783B">
        <w:rPr>
          <w:rFonts w:ascii="Arial" w:eastAsia="Arial" w:hAnsi="Arial" w:cs="Arial"/>
          <w:color w:val="000000"/>
          <w:sz w:val="22"/>
          <w:szCs w:val="22"/>
          <w:highlight w:val="white"/>
          <w:lang w:val="en-US"/>
        </w:rPr>
        <w:t>Comparatively analyze different political systems, by scrutinizing the structural frameworks, governance mechanisms, and ideological foundations that underpin them</w:t>
      </w:r>
    </w:p>
    <w:p w14:paraId="63C8B683" w14:textId="77777777" w:rsidR="00FE783B" w:rsidRPr="00FE783B" w:rsidRDefault="00FE783B" w:rsidP="00FE783B">
      <w:pPr>
        <w:widowControl w:val="0"/>
        <w:numPr>
          <w:ilvl w:val="0"/>
          <w:numId w:val="3"/>
        </w:numPr>
        <w:pBdr>
          <w:top w:val="nil"/>
          <w:left w:val="nil"/>
          <w:bottom w:val="nil"/>
          <w:right w:val="nil"/>
          <w:between w:val="nil"/>
        </w:pBdr>
        <w:spacing w:after="120"/>
        <w:contextualSpacing/>
        <w:rPr>
          <w:rFonts w:ascii="Arial" w:eastAsia="Arial" w:hAnsi="Arial" w:cs="Arial"/>
          <w:color w:val="000000"/>
          <w:sz w:val="22"/>
          <w:szCs w:val="22"/>
          <w:highlight w:val="white"/>
          <w:lang w:val="en-US"/>
        </w:rPr>
      </w:pPr>
      <w:r w:rsidRPr="00FE783B">
        <w:rPr>
          <w:rFonts w:ascii="Arial" w:eastAsia="Arial" w:hAnsi="Arial" w:cs="Arial"/>
          <w:color w:val="000000"/>
          <w:sz w:val="22"/>
          <w:szCs w:val="22"/>
          <w:highlight w:val="white"/>
          <w:lang w:val="en-US"/>
        </w:rPr>
        <w:t>Critically analyze the impact of ideological frameworks on political decision-making and governance structures in different regions</w:t>
      </w:r>
    </w:p>
    <w:p w14:paraId="260EBC33" w14:textId="77777777" w:rsidR="00FE783B" w:rsidRPr="00FE783B" w:rsidRDefault="00FE783B" w:rsidP="00FE783B">
      <w:pPr>
        <w:widowControl w:val="0"/>
        <w:numPr>
          <w:ilvl w:val="0"/>
          <w:numId w:val="3"/>
        </w:numPr>
        <w:pBdr>
          <w:top w:val="nil"/>
          <w:left w:val="nil"/>
          <w:bottom w:val="nil"/>
          <w:right w:val="nil"/>
          <w:between w:val="nil"/>
        </w:pBdr>
        <w:spacing w:after="120"/>
        <w:contextualSpacing/>
        <w:rPr>
          <w:rFonts w:ascii="Arial" w:eastAsia="Arial" w:hAnsi="Arial" w:cs="Arial"/>
          <w:color w:val="000000"/>
          <w:sz w:val="22"/>
          <w:szCs w:val="22"/>
          <w:highlight w:val="white"/>
          <w:lang w:val="en-US"/>
        </w:rPr>
      </w:pPr>
      <w:r w:rsidRPr="00FE783B">
        <w:rPr>
          <w:rFonts w:ascii="Arial" w:eastAsia="Arial" w:hAnsi="Arial" w:cs="Arial"/>
          <w:color w:val="000000"/>
          <w:sz w:val="22"/>
          <w:szCs w:val="22"/>
          <w:highlight w:val="white"/>
          <w:lang w:val="en-US"/>
        </w:rPr>
        <w:t>Examine and analyze the roles played by major political actors, including states, international organizations, and non-state entities, in shaping the complex dynamics of contemporary geopolitics</w:t>
      </w:r>
    </w:p>
    <w:p w14:paraId="1E56A6A1" w14:textId="77777777" w:rsidR="00FE783B" w:rsidRPr="00FE783B" w:rsidRDefault="00FE783B" w:rsidP="00FE783B">
      <w:pPr>
        <w:widowControl w:val="0"/>
        <w:numPr>
          <w:ilvl w:val="0"/>
          <w:numId w:val="3"/>
        </w:numPr>
        <w:pBdr>
          <w:top w:val="nil"/>
          <w:left w:val="nil"/>
          <w:bottom w:val="nil"/>
          <w:right w:val="nil"/>
          <w:between w:val="nil"/>
        </w:pBdr>
        <w:spacing w:after="120"/>
        <w:contextualSpacing/>
        <w:rPr>
          <w:rFonts w:ascii="Arial" w:eastAsia="Arial" w:hAnsi="Arial" w:cs="Arial"/>
          <w:color w:val="000000"/>
          <w:sz w:val="22"/>
          <w:szCs w:val="22"/>
          <w:highlight w:val="white"/>
          <w:lang w:val="en-US"/>
        </w:rPr>
      </w:pPr>
      <w:r w:rsidRPr="00FE783B">
        <w:rPr>
          <w:rFonts w:ascii="Arial" w:eastAsia="Arial" w:hAnsi="Arial" w:cs="Arial"/>
          <w:color w:val="000000"/>
          <w:sz w:val="22"/>
          <w:szCs w:val="22"/>
          <w:highlight w:val="white"/>
          <w:lang w:val="en-US"/>
        </w:rPr>
        <w:t>Communicate ideas clearly, coherently, and effectively during the presentation.</w:t>
      </w:r>
    </w:p>
    <w:p w14:paraId="4A412EB7" w14:textId="77777777" w:rsidR="00FE783B" w:rsidRPr="00FE783B" w:rsidRDefault="00FE783B" w:rsidP="00FE783B">
      <w:pPr>
        <w:widowControl w:val="0"/>
        <w:pBdr>
          <w:top w:val="nil"/>
          <w:left w:val="nil"/>
          <w:bottom w:val="nil"/>
          <w:right w:val="nil"/>
          <w:between w:val="nil"/>
        </w:pBdr>
        <w:spacing w:after="120"/>
        <w:contextualSpacing/>
        <w:rPr>
          <w:rFonts w:ascii="Arial" w:eastAsia="Arial" w:hAnsi="Arial" w:cs="Arial"/>
          <w:color w:val="000000"/>
          <w:sz w:val="22"/>
          <w:szCs w:val="22"/>
          <w:highlight w:val="white"/>
          <w:lang w:val="en-US"/>
        </w:rPr>
      </w:pPr>
    </w:p>
    <w:p w14:paraId="41AA0C6E" w14:textId="77777777" w:rsidR="00FE783B" w:rsidRPr="00FE783B" w:rsidRDefault="00FE783B" w:rsidP="00FE783B">
      <w:pPr>
        <w:widowControl w:val="0"/>
        <w:spacing w:before="240" w:after="240"/>
        <w:jc w:val="both"/>
        <w:outlineLvl w:val="0"/>
        <w:rPr>
          <w:rFonts w:ascii="Arial" w:eastAsia="Arial" w:hAnsi="Arial" w:cs="Arial"/>
          <w:b/>
          <w:bCs/>
          <w:sz w:val="32"/>
          <w:szCs w:val="36"/>
          <w:lang w:val="en-US"/>
        </w:rPr>
      </w:pPr>
      <w:r w:rsidRPr="00FE783B">
        <w:rPr>
          <w:rFonts w:ascii="Arial" w:eastAsia="Arial" w:hAnsi="Arial" w:cs="Arial"/>
          <w:b/>
          <w:bCs/>
          <w:sz w:val="32"/>
          <w:szCs w:val="36"/>
          <w:lang w:val="en-US"/>
        </w:rPr>
        <w:t>Sources</w:t>
      </w:r>
    </w:p>
    <w:p w14:paraId="33ABABA8" w14:textId="77777777" w:rsidR="00FE783B" w:rsidRPr="00FE783B" w:rsidRDefault="00FE783B" w:rsidP="00FE783B">
      <w:pPr>
        <w:widowControl w:val="0"/>
        <w:spacing w:after="120"/>
        <w:ind w:left="454" w:hanging="454"/>
        <w:contextualSpacing/>
        <w:jc w:val="both"/>
        <w:rPr>
          <w:rFonts w:ascii="Arial" w:eastAsia="Arial" w:hAnsi="Arial" w:cs="Arial"/>
          <w:sz w:val="22"/>
          <w:szCs w:val="22"/>
          <w:lang w:val="en-US"/>
        </w:rPr>
      </w:pPr>
      <w:proofErr w:type="spellStart"/>
      <w:r w:rsidRPr="00FE783B">
        <w:rPr>
          <w:rFonts w:ascii="Arial" w:eastAsia="Arial" w:hAnsi="Arial" w:cs="Arial"/>
          <w:sz w:val="22"/>
          <w:szCs w:val="22"/>
          <w:lang w:val="en-US"/>
        </w:rPr>
        <w:t>Dickovic</w:t>
      </w:r>
      <w:proofErr w:type="spellEnd"/>
      <w:r w:rsidRPr="00FE783B">
        <w:rPr>
          <w:rFonts w:ascii="Arial" w:eastAsia="Arial" w:hAnsi="Arial" w:cs="Arial"/>
          <w:sz w:val="22"/>
          <w:szCs w:val="22"/>
          <w:lang w:val="en-US"/>
        </w:rPr>
        <w:t xml:space="preserve">, T. et al. 2022. </w:t>
      </w:r>
      <w:r w:rsidRPr="00FE783B">
        <w:rPr>
          <w:rFonts w:ascii="Arial" w:eastAsia="Arial" w:hAnsi="Arial" w:cs="Arial"/>
          <w:i/>
          <w:sz w:val="22"/>
          <w:szCs w:val="22"/>
          <w:lang w:val="en-US"/>
        </w:rPr>
        <w:t>Comparative Politics. Integrating Theories, Methods, and Cases</w:t>
      </w:r>
      <w:r w:rsidRPr="00FE783B">
        <w:rPr>
          <w:rFonts w:ascii="Arial" w:eastAsia="Arial" w:hAnsi="Arial" w:cs="Arial"/>
          <w:b/>
          <w:sz w:val="22"/>
          <w:szCs w:val="22"/>
          <w:lang w:val="en-US"/>
        </w:rPr>
        <w:t xml:space="preserve">. </w:t>
      </w:r>
      <w:r w:rsidRPr="00FE783B">
        <w:rPr>
          <w:rFonts w:ascii="Arial" w:eastAsia="Arial" w:hAnsi="Arial" w:cs="Arial"/>
          <w:sz w:val="22"/>
          <w:szCs w:val="22"/>
          <w:lang w:val="en-US"/>
        </w:rPr>
        <w:t>Oxford University Press.</w:t>
      </w:r>
    </w:p>
    <w:p w14:paraId="5BE521BF" w14:textId="77777777" w:rsidR="00FE783B" w:rsidRPr="00FE783B" w:rsidRDefault="00FE783B" w:rsidP="00FE783B">
      <w:pPr>
        <w:widowControl w:val="0"/>
        <w:spacing w:after="120"/>
        <w:ind w:left="454" w:hanging="454"/>
        <w:contextualSpacing/>
        <w:jc w:val="both"/>
        <w:rPr>
          <w:rFonts w:ascii="Arial" w:eastAsia="Arial" w:hAnsi="Arial" w:cs="Arial"/>
          <w:sz w:val="22"/>
          <w:szCs w:val="22"/>
          <w:lang w:val="en-US"/>
        </w:rPr>
      </w:pPr>
      <w:r w:rsidRPr="00FE783B">
        <w:rPr>
          <w:rFonts w:ascii="Arial" w:eastAsia="Arial" w:hAnsi="Arial" w:cs="Arial"/>
          <w:sz w:val="22"/>
          <w:szCs w:val="22"/>
          <w:lang w:val="en-US"/>
        </w:rPr>
        <w:t xml:space="preserve">Flint, C., Taylor, P., 2018. </w:t>
      </w:r>
      <w:r w:rsidRPr="00FE783B">
        <w:rPr>
          <w:rFonts w:ascii="Arial" w:eastAsia="Arial" w:hAnsi="Arial" w:cs="Arial"/>
          <w:i/>
          <w:sz w:val="22"/>
          <w:szCs w:val="22"/>
          <w:lang w:val="en-US"/>
        </w:rPr>
        <w:t>Political Geography. World-Economy, Nation-State and Locality</w:t>
      </w:r>
      <w:r w:rsidRPr="00FE783B">
        <w:rPr>
          <w:rFonts w:ascii="Arial" w:eastAsia="Arial" w:hAnsi="Arial" w:cs="Arial"/>
          <w:sz w:val="22"/>
          <w:szCs w:val="22"/>
          <w:lang w:val="en-US"/>
        </w:rPr>
        <w:t>. Routledge.</w:t>
      </w:r>
    </w:p>
    <w:p w14:paraId="004C94CD" w14:textId="77777777" w:rsidR="00FE783B" w:rsidRPr="00FE783B" w:rsidRDefault="00FE783B" w:rsidP="00FE783B">
      <w:pPr>
        <w:widowControl w:val="0"/>
        <w:ind w:left="454" w:hanging="454"/>
        <w:contextualSpacing/>
        <w:jc w:val="both"/>
        <w:rPr>
          <w:rFonts w:ascii="Arial" w:eastAsia="Arial" w:hAnsi="Arial" w:cs="Arial"/>
          <w:sz w:val="22"/>
          <w:szCs w:val="22"/>
          <w:lang w:val="en-US"/>
        </w:rPr>
      </w:pPr>
    </w:p>
    <w:p w14:paraId="14F52BFB" w14:textId="77777777" w:rsidR="00FE783B" w:rsidRPr="00FE783B" w:rsidRDefault="00FE783B" w:rsidP="00FE783B">
      <w:pPr>
        <w:widowControl w:val="0"/>
        <w:spacing w:after="120"/>
        <w:contextualSpacing/>
        <w:jc w:val="both"/>
        <w:rPr>
          <w:rFonts w:ascii="Arial" w:eastAsia="Arial" w:hAnsi="Arial" w:cs="Arial"/>
          <w:b/>
          <w:sz w:val="22"/>
          <w:szCs w:val="22"/>
          <w:lang w:val="en-US"/>
        </w:rPr>
      </w:pPr>
      <w:r w:rsidRPr="00FE783B">
        <w:rPr>
          <w:rFonts w:ascii="Arial" w:eastAsia="Arial" w:hAnsi="Arial" w:cs="Arial"/>
          <w:b/>
          <w:sz w:val="22"/>
          <w:szCs w:val="22"/>
          <w:lang w:val="en-US"/>
        </w:rPr>
        <w:t>Recommended Reading List:</w:t>
      </w:r>
    </w:p>
    <w:p w14:paraId="1CA4F5CF" w14:textId="77777777" w:rsidR="00FE783B" w:rsidRPr="00FE783B" w:rsidRDefault="00FE783B" w:rsidP="00FE783B">
      <w:pPr>
        <w:spacing w:after="120"/>
        <w:ind w:left="454" w:hanging="454"/>
        <w:contextualSpacing/>
        <w:jc w:val="both"/>
        <w:rPr>
          <w:rFonts w:ascii="Arial" w:eastAsia="Arial" w:hAnsi="Arial" w:cs="Arial"/>
          <w:sz w:val="22"/>
          <w:szCs w:val="22"/>
          <w:lang w:val="en-US"/>
        </w:rPr>
      </w:pPr>
      <w:r w:rsidRPr="00FE783B">
        <w:rPr>
          <w:rFonts w:ascii="Arial" w:eastAsia="Arial" w:hAnsi="Arial" w:cs="Arial"/>
          <w:sz w:val="22"/>
          <w:szCs w:val="22"/>
          <w:lang w:val="en-US"/>
        </w:rPr>
        <w:t xml:space="preserve">da </w:t>
      </w:r>
      <w:proofErr w:type="spellStart"/>
      <w:r w:rsidRPr="00FE783B">
        <w:rPr>
          <w:rFonts w:ascii="Arial" w:eastAsia="Arial" w:hAnsi="Arial" w:cs="Arial"/>
          <w:sz w:val="22"/>
          <w:szCs w:val="22"/>
          <w:lang w:val="en-US"/>
        </w:rPr>
        <w:t>Vinha</w:t>
      </w:r>
      <w:proofErr w:type="spellEnd"/>
      <w:r w:rsidRPr="00FE783B">
        <w:rPr>
          <w:rFonts w:ascii="Arial" w:eastAsia="Arial" w:hAnsi="Arial" w:cs="Arial"/>
          <w:sz w:val="22"/>
          <w:szCs w:val="22"/>
          <w:lang w:val="en-US"/>
        </w:rPr>
        <w:t xml:space="preserve">, L., 2022. Political Geography. In </w:t>
      </w:r>
      <w:r w:rsidRPr="00FE783B">
        <w:rPr>
          <w:rFonts w:ascii="Arial" w:eastAsia="Arial" w:hAnsi="Arial" w:cs="Arial"/>
          <w:i/>
          <w:sz w:val="22"/>
          <w:szCs w:val="22"/>
          <w:lang w:val="en-US"/>
        </w:rPr>
        <w:t>Routledge Handbook of Foreign Policy Analysis Methods</w:t>
      </w:r>
      <w:r w:rsidRPr="00FE783B">
        <w:rPr>
          <w:rFonts w:ascii="Arial" w:eastAsia="Arial" w:hAnsi="Arial" w:cs="Arial"/>
          <w:sz w:val="22"/>
          <w:szCs w:val="22"/>
          <w:lang w:val="en-US"/>
        </w:rPr>
        <w:t xml:space="preserve"> (pp. 82-97). Routledge.</w:t>
      </w:r>
    </w:p>
    <w:p w14:paraId="7F76BBD3" w14:textId="77777777" w:rsidR="00FE783B" w:rsidRPr="00FE783B" w:rsidRDefault="00FE783B" w:rsidP="00FE783B">
      <w:pPr>
        <w:spacing w:after="120"/>
        <w:ind w:left="454" w:hanging="454"/>
        <w:contextualSpacing/>
        <w:jc w:val="both"/>
        <w:rPr>
          <w:rFonts w:ascii="Arial" w:eastAsia="Arial" w:hAnsi="Arial" w:cs="Arial"/>
          <w:color w:val="000000"/>
          <w:sz w:val="22"/>
          <w:szCs w:val="22"/>
          <w:lang w:val="en-US"/>
        </w:rPr>
      </w:pPr>
      <w:r w:rsidRPr="00FE783B">
        <w:rPr>
          <w:rFonts w:ascii="Arial" w:eastAsia="Arial" w:hAnsi="Arial" w:cs="Arial"/>
          <w:color w:val="000000"/>
          <w:sz w:val="22"/>
          <w:szCs w:val="22"/>
          <w:lang w:val="en-US"/>
        </w:rPr>
        <w:t xml:space="preserve">Cohen, S. B., 2014. </w:t>
      </w:r>
      <w:r w:rsidRPr="00FE783B">
        <w:rPr>
          <w:rFonts w:ascii="Arial" w:eastAsia="Arial" w:hAnsi="Arial" w:cs="Arial"/>
          <w:i/>
          <w:color w:val="000000"/>
          <w:sz w:val="22"/>
          <w:szCs w:val="22"/>
          <w:lang w:val="en-US"/>
        </w:rPr>
        <w:t>Geopolitics of the World System</w:t>
      </w:r>
      <w:r w:rsidRPr="00FE783B">
        <w:rPr>
          <w:rFonts w:ascii="Arial" w:eastAsia="Arial" w:hAnsi="Arial" w:cs="Arial"/>
          <w:color w:val="000000"/>
          <w:sz w:val="22"/>
          <w:szCs w:val="22"/>
          <w:lang w:val="en-US"/>
        </w:rPr>
        <w:t>. Lanham MD: Rowman and Littlefield.</w:t>
      </w:r>
    </w:p>
    <w:p w14:paraId="091097D3" w14:textId="77777777" w:rsidR="00FE783B" w:rsidRPr="00FE783B" w:rsidRDefault="00FE783B" w:rsidP="00FE783B">
      <w:pPr>
        <w:spacing w:after="120"/>
        <w:ind w:left="454" w:hanging="454"/>
        <w:contextualSpacing/>
        <w:jc w:val="both"/>
        <w:rPr>
          <w:rFonts w:ascii="Arial" w:eastAsia="Arial" w:hAnsi="Arial" w:cs="Arial"/>
          <w:color w:val="000000"/>
          <w:sz w:val="22"/>
          <w:szCs w:val="22"/>
          <w:lang w:val="en-US"/>
        </w:rPr>
      </w:pPr>
      <w:r w:rsidRPr="00FE783B">
        <w:rPr>
          <w:rFonts w:ascii="Arial" w:eastAsia="Arial" w:hAnsi="Arial" w:cs="Arial"/>
          <w:color w:val="000000"/>
          <w:sz w:val="22"/>
          <w:szCs w:val="22"/>
          <w:lang w:val="en-US"/>
        </w:rPr>
        <w:t xml:space="preserve">Flint, C., 2021. </w:t>
      </w:r>
      <w:r w:rsidRPr="00FE783B">
        <w:rPr>
          <w:rFonts w:ascii="Arial" w:eastAsia="Arial" w:hAnsi="Arial" w:cs="Arial"/>
          <w:i/>
          <w:color w:val="000000"/>
          <w:sz w:val="22"/>
          <w:szCs w:val="22"/>
          <w:lang w:val="en-US"/>
        </w:rPr>
        <w:t>Introduction to Geopolitics.</w:t>
      </w:r>
      <w:r w:rsidRPr="00FE783B">
        <w:rPr>
          <w:rFonts w:ascii="Arial" w:eastAsia="Arial" w:hAnsi="Arial" w:cs="Arial"/>
          <w:color w:val="000000"/>
          <w:sz w:val="22"/>
          <w:szCs w:val="22"/>
          <w:lang w:val="en-US"/>
        </w:rPr>
        <w:t xml:space="preserve"> Routledge.</w:t>
      </w:r>
    </w:p>
    <w:p w14:paraId="5C9D2B07" w14:textId="77777777" w:rsidR="00FE783B" w:rsidRPr="00FE783B" w:rsidRDefault="00FE783B" w:rsidP="00FE783B">
      <w:pPr>
        <w:spacing w:after="120"/>
        <w:ind w:left="454" w:hanging="454"/>
        <w:contextualSpacing/>
        <w:jc w:val="both"/>
        <w:rPr>
          <w:rFonts w:ascii="Arial" w:eastAsia="Arial" w:hAnsi="Arial" w:cs="Arial"/>
          <w:sz w:val="22"/>
          <w:szCs w:val="22"/>
          <w:lang w:val="en-US"/>
        </w:rPr>
      </w:pPr>
      <w:r w:rsidRPr="00FE783B">
        <w:rPr>
          <w:rFonts w:ascii="Arial" w:eastAsia="Arial" w:hAnsi="Arial" w:cs="Arial"/>
          <w:sz w:val="22"/>
          <w:szCs w:val="22"/>
          <w:lang w:val="en-US"/>
        </w:rPr>
        <w:t xml:space="preserve">Fukuyama, F., 2012. The Future of History. </w:t>
      </w:r>
      <w:r w:rsidRPr="00FE783B">
        <w:rPr>
          <w:rFonts w:ascii="Arial" w:eastAsia="Arial" w:hAnsi="Arial" w:cs="Arial"/>
          <w:i/>
          <w:sz w:val="22"/>
          <w:szCs w:val="22"/>
          <w:lang w:val="en-US"/>
        </w:rPr>
        <w:t>Foreign Affairs</w:t>
      </w:r>
      <w:r w:rsidRPr="00FE783B">
        <w:rPr>
          <w:rFonts w:ascii="Arial" w:eastAsia="Arial" w:hAnsi="Arial" w:cs="Arial"/>
          <w:sz w:val="22"/>
          <w:szCs w:val="22"/>
          <w:lang w:val="en-US"/>
        </w:rPr>
        <w:t>, 91(1), https://www.foreignaffairs.com/articles/2012-01-01/future-history.</w:t>
      </w:r>
    </w:p>
    <w:p w14:paraId="1488A049" w14:textId="77777777" w:rsidR="00FE783B" w:rsidRPr="00FE783B" w:rsidRDefault="00FE783B" w:rsidP="00FE783B">
      <w:pPr>
        <w:spacing w:after="120"/>
        <w:ind w:left="454" w:hanging="454"/>
        <w:contextualSpacing/>
        <w:jc w:val="both"/>
        <w:rPr>
          <w:rFonts w:ascii="Arial" w:eastAsia="Arial" w:hAnsi="Arial" w:cs="Arial"/>
          <w:sz w:val="22"/>
          <w:szCs w:val="22"/>
          <w:lang w:val="en-US"/>
        </w:rPr>
      </w:pPr>
      <w:r w:rsidRPr="00FE783B">
        <w:rPr>
          <w:rFonts w:ascii="Arial" w:eastAsia="Arial" w:hAnsi="Arial" w:cs="Arial"/>
          <w:sz w:val="22"/>
          <w:szCs w:val="22"/>
          <w:lang w:val="en-US"/>
        </w:rPr>
        <w:t>Huntington, S., 1993. The Clash of Civilizations</w:t>
      </w:r>
      <w:r w:rsidRPr="00FE783B">
        <w:rPr>
          <w:rFonts w:ascii="Arial" w:eastAsia="Arial" w:hAnsi="Arial" w:cs="Arial"/>
          <w:i/>
          <w:sz w:val="22"/>
          <w:szCs w:val="22"/>
          <w:lang w:val="en-US"/>
        </w:rPr>
        <w:t>. Foreign affairs,</w:t>
      </w:r>
      <w:r w:rsidRPr="00FE783B">
        <w:rPr>
          <w:rFonts w:ascii="Arial" w:eastAsia="Arial" w:hAnsi="Arial" w:cs="Arial"/>
          <w:sz w:val="22"/>
          <w:szCs w:val="22"/>
          <w:lang w:val="en-US"/>
        </w:rPr>
        <w:t xml:space="preserve"> 72(3), pp.22-49.</w:t>
      </w:r>
    </w:p>
    <w:p w14:paraId="5879C3D8" w14:textId="77777777" w:rsidR="00FE783B" w:rsidRPr="00FE783B" w:rsidRDefault="00FE783B" w:rsidP="00FE783B">
      <w:pPr>
        <w:spacing w:after="120"/>
        <w:ind w:left="454" w:hanging="454"/>
        <w:contextualSpacing/>
        <w:jc w:val="both"/>
        <w:rPr>
          <w:rFonts w:ascii="Arial" w:eastAsia="Arial" w:hAnsi="Arial" w:cs="Arial"/>
          <w:sz w:val="22"/>
          <w:szCs w:val="22"/>
          <w:lang w:val="en-US"/>
        </w:rPr>
      </w:pPr>
      <w:r w:rsidRPr="00FE783B">
        <w:rPr>
          <w:rFonts w:ascii="Arial" w:eastAsia="Arial" w:hAnsi="Arial" w:cs="Arial"/>
          <w:sz w:val="22"/>
          <w:szCs w:val="22"/>
          <w:lang w:val="en-US"/>
        </w:rPr>
        <w:t xml:space="preserve">Jones, M. et al. 2015. </w:t>
      </w:r>
      <w:r w:rsidRPr="00FE783B">
        <w:rPr>
          <w:rFonts w:ascii="Arial" w:eastAsia="Arial" w:hAnsi="Arial" w:cs="Arial"/>
          <w:i/>
          <w:sz w:val="22"/>
          <w:szCs w:val="22"/>
          <w:lang w:val="en-US"/>
        </w:rPr>
        <w:t>An Introduction to Political Geography</w:t>
      </w:r>
      <w:r w:rsidRPr="00FE783B">
        <w:rPr>
          <w:rFonts w:ascii="Arial" w:eastAsia="Arial" w:hAnsi="Arial" w:cs="Arial"/>
          <w:sz w:val="22"/>
          <w:szCs w:val="22"/>
          <w:lang w:val="en-US"/>
        </w:rPr>
        <w:t>. Routledge.</w:t>
      </w:r>
    </w:p>
    <w:p w14:paraId="525B1F91" w14:textId="77777777" w:rsidR="00FE783B" w:rsidRPr="00FE783B" w:rsidRDefault="00FE783B" w:rsidP="00FE783B">
      <w:pPr>
        <w:spacing w:after="120"/>
        <w:ind w:left="454" w:hanging="454"/>
        <w:contextualSpacing/>
        <w:jc w:val="both"/>
        <w:rPr>
          <w:rFonts w:ascii="Arial" w:eastAsia="Arial" w:hAnsi="Arial" w:cs="Arial"/>
          <w:sz w:val="22"/>
          <w:szCs w:val="22"/>
          <w:lang w:val="en-US"/>
        </w:rPr>
      </w:pPr>
      <w:r w:rsidRPr="00FE783B">
        <w:rPr>
          <w:rFonts w:ascii="Arial" w:eastAsia="Arial" w:hAnsi="Arial" w:cs="Arial"/>
          <w:sz w:val="22"/>
          <w:szCs w:val="22"/>
          <w:lang w:val="en-US"/>
        </w:rPr>
        <w:t xml:space="preserve">Konrad, G., 1984. Antipolitics: A Moral Force. In S. Dalby, P. Routledge, and G.O. Tuathail, (eds.), 2003. </w:t>
      </w:r>
      <w:r w:rsidRPr="00FE783B">
        <w:rPr>
          <w:rFonts w:ascii="Arial" w:eastAsia="Arial" w:hAnsi="Arial" w:cs="Arial"/>
          <w:i/>
          <w:sz w:val="22"/>
          <w:szCs w:val="22"/>
          <w:lang w:val="en-US"/>
        </w:rPr>
        <w:t>The Geopolitics Reader.</w:t>
      </w:r>
      <w:r w:rsidRPr="00FE783B">
        <w:rPr>
          <w:rFonts w:ascii="Arial" w:eastAsia="Arial" w:hAnsi="Arial" w:cs="Arial"/>
          <w:sz w:val="22"/>
          <w:szCs w:val="22"/>
          <w:lang w:val="en-US"/>
        </w:rPr>
        <w:t xml:space="preserve"> Routledge, pp. 283-285. </w:t>
      </w:r>
    </w:p>
    <w:p w14:paraId="0CD6DF50" w14:textId="77777777" w:rsidR="00FE783B" w:rsidRPr="00FE783B" w:rsidRDefault="00FE783B" w:rsidP="00FE783B">
      <w:pPr>
        <w:spacing w:after="120"/>
        <w:ind w:left="454" w:hanging="454"/>
        <w:contextualSpacing/>
        <w:jc w:val="both"/>
        <w:rPr>
          <w:rFonts w:ascii="Arial" w:eastAsia="Arial" w:hAnsi="Arial" w:cs="Arial"/>
          <w:sz w:val="22"/>
          <w:szCs w:val="22"/>
          <w:lang w:val="en-US"/>
        </w:rPr>
      </w:pPr>
      <w:r w:rsidRPr="00FE783B">
        <w:rPr>
          <w:rFonts w:ascii="Arial" w:eastAsia="Arial" w:hAnsi="Arial" w:cs="Arial"/>
          <w:sz w:val="22"/>
          <w:szCs w:val="22"/>
          <w:lang w:val="en-US"/>
        </w:rPr>
        <w:t xml:space="preserve">Kaplan, R.D., 2014. The Coming Anarchy. In </w:t>
      </w:r>
      <w:r w:rsidRPr="00FE783B">
        <w:rPr>
          <w:rFonts w:ascii="Arial" w:eastAsia="Arial" w:hAnsi="Arial" w:cs="Arial"/>
          <w:i/>
          <w:sz w:val="22"/>
          <w:szCs w:val="22"/>
          <w:lang w:val="en-US"/>
        </w:rPr>
        <w:t>Geopolitics</w:t>
      </w:r>
      <w:r w:rsidRPr="00FE783B">
        <w:rPr>
          <w:rFonts w:ascii="Arial" w:eastAsia="Arial" w:hAnsi="Arial" w:cs="Arial"/>
          <w:sz w:val="22"/>
          <w:szCs w:val="22"/>
          <w:lang w:val="en-US"/>
        </w:rPr>
        <w:t>. Routledge, pp. 195-202.</w:t>
      </w:r>
    </w:p>
    <w:p w14:paraId="2A41A72D" w14:textId="77777777" w:rsidR="00FE783B" w:rsidRPr="00FE783B" w:rsidRDefault="00FE783B" w:rsidP="00FE783B">
      <w:pPr>
        <w:spacing w:after="120"/>
        <w:ind w:left="454" w:hanging="454"/>
        <w:contextualSpacing/>
        <w:jc w:val="both"/>
        <w:rPr>
          <w:rFonts w:ascii="Arial" w:eastAsia="Arial" w:hAnsi="Arial" w:cs="Arial"/>
          <w:sz w:val="22"/>
          <w:szCs w:val="22"/>
          <w:lang w:val="en-US"/>
        </w:rPr>
      </w:pPr>
      <w:r w:rsidRPr="00FE783B">
        <w:rPr>
          <w:rFonts w:ascii="Arial" w:eastAsia="Arial" w:hAnsi="Arial" w:cs="Arial"/>
          <w:sz w:val="22"/>
          <w:szCs w:val="22"/>
          <w:lang w:val="en-US"/>
        </w:rPr>
        <w:t>Mackinder, H.J., 2004. The Geographical Pivot of History (1904). The geographical journal, 170(4), pp. 298-321.</w:t>
      </w:r>
    </w:p>
    <w:p w14:paraId="33B73C25" w14:textId="77777777" w:rsidR="00FE783B" w:rsidRPr="00FE783B" w:rsidRDefault="00FE783B" w:rsidP="00FE783B">
      <w:pPr>
        <w:spacing w:after="120"/>
        <w:ind w:left="454" w:hanging="454"/>
        <w:contextualSpacing/>
        <w:jc w:val="both"/>
        <w:rPr>
          <w:rFonts w:ascii="Arial" w:eastAsia="Arial" w:hAnsi="Arial" w:cs="Arial"/>
          <w:sz w:val="22"/>
          <w:szCs w:val="22"/>
          <w:lang w:val="en-US"/>
        </w:rPr>
      </w:pPr>
      <w:proofErr w:type="spellStart"/>
      <w:r w:rsidRPr="00FE783B">
        <w:rPr>
          <w:rFonts w:ascii="Arial" w:eastAsia="Arial" w:hAnsi="Arial" w:cs="Arial"/>
          <w:sz w:val="22"/>
          <w:szCs w:val="22"/>
          <w:lang w:val="en-US"/>
        </w:rPr>
        <w:t>Mamadouh</w:t>
      </w:r>
      <w:proofErr w:type="spellEnd"/>
      <w:r w:rsidRPr="00FE783B">
        <w:rPr>
          <w:rFonts w:ascii="Arial" w:eastAsia="Arial" w:hAnsi="Arial" w:cs="Arial"/>
          <w:sz w:val="22"/>
          <w:szCs w:val="22"/>
          <w:lang w:val="en-US"/>
        </w:rPr>
        <w:t xml:space="preserve">, V. and Müller, M., 2017. Political Geography and Geopolitics. </w:t>
      </w:r>
      <w:r w:rsidRPr="00FE783B">
        <w:rPr>
          <w:rFonts w:ascii="Arial" w:eastAsia="Arial" w:hAnsi="Arial" w:cs="Arial"/>
          <w:i/>
          <w:sz w:val="22"/>
          <w:szCs w:val="22"/>
          <w:lang w:val="en-US"/>
        </w:rPr>
        <w:t>European Regions and Boundaries</w:t>
      </w:r>
      <w:r w:rsidRPr="00FE783B">
        <w:rPr>
          <w:rFonts w:ascii="Arial" w:eastAsia="Arial" w:hAnsi="Arial" w:cs="Arial"/>
          <w:sz w:val="22"/>
          <w:szCs w:val="22"/>
          <w:lang w:val="en-US"/>
        </w:rPr>
        <w:t>, pp.258-279.</w:t>
      </w:r>
    </w:p>
    <w:p w14:paraId="178B2645" w14:textId="77777777" w:rsidR="00FE783B" w:rsidRPr="00FE783B" w:rsidRDefault="00FE783B" w:rsidP="00FE783B">
      <w:pPr>
        <w:widowControl w:val="0"/>
        <w:contextualSpacing/>
        <w:jc w:val="both"/>
        <w:rPr>
          <w:rFonts w:ascii="Arial" w:eastAsia="Arial" w:hAnsi="Arial" w:cs="Arial"/>
          <w:sz w:val="22"/>
          <w:szCs w:val="22"/>
          <w:lang w:val="en-US"/>
        </w:rPr>
      </w:pPr>
    </w:p>
    <w:p w14:paraId="5047DBD7" w14:textId="77777777" w:rsidR="00FE783B" w:rsidRPr="00FE783B" w:rsidRDefault="00FE783B" w:rsidP="00FE783B">
      <w:pPr>
        <w:widowControl w:val="0"/>
        <w:contextualSpacing/>
        <w:jc w:val="both"/>
        <w:rPr>
          <w:rFonts w:ascii="Arial" w:eastAsia="Arial" w:hAnsi="Arial" w:cs="Arial"/>
          <w:sz w:val="22"/>
          <w:szCs w:val="22"/>
          <w:lang w:val="en-US"/>
        </w:rPr>
      </w:pPr>
      <w:r w:rsidRPr="00FE783B">
        <w:rPr>
          <w:rFonts w:ascii="Arial" w:eastAsia="Arial" w:hAnsi="Arial" w:cs="Arial"/>
          <w:sz w:val="22"/>
          <w:szCs w:val="22"/>
          <w:lang w:val="en-US"/>
        </w:rPr>
        <w:t>An annually updated reading list including a list of other resources such as contemporary journal articles, reports, magazines and blogs will be provided.</w:t>
      </w:r>
    </w:p>
    <w:p w14:paraId="6FC9987A" w14:textId="77777777" w:rsidR="00FE783B" w:rsidRPr="00FE783B" w:rsidRDefault="00FE783B" w:rsidP="00FE783B">
      <w:pPr>
        <w:widowControl w:val="0"/>
        <w:contextualSpacing/>
        <w:jc w:val="both"/>
        <w:rPr>
          <w:rFonts w:ascii="Arial" w:eastAsia="Arial" w:hAnsi="Arial" w:cs="Arial"/>
          <w:sz w:val="22"/>
          <w:szCs w:val="22"/>
          <w:lang w:val="en-US"/>
        </w:rPr>
      </w:pPr>
    </w:p>
    <w:p w14:paraId="23EB6434" w14:textId="77777777" w:rsidR="00FE783B" w:rsidRPr="00FE783B" w:rsidRDefault="00FE783B" w:rsidP="00FE783B">
      <w:pPr>
        <w:widowControl w:val="0"/>
        <w:contextualSpacing/>
        <w:jc w:val="both"/>
        <w:rPr>
          <w:rFonts w:ascii="Arial" w:eastAsia="Arial" w:hAnsi="Arial" w:cs="Arial"/>
          <w:sz w:val="22"/>
          <w:szCs w:val="22"/>
          <w:lang w:val="en-US"/>
        </w:rPr>
      </w:pPr>
      <w:r w:rsidRPr="00FE783B">
        <w:rPr>
          <w:rFonts w:ascii="Arial" w:eastAsia="Arial" w:hAnsi="Arial" w:cs="Arial"/>
          <w:sz w:val="22"/>
          <w:szCs w:val="22"/>
          <w:lang w:val="en-US"/>
        </w:rPr>
        <w:t xml:space="preserve">In addition, students will be expected to carry out independent research to explore topics within contemporary publications </w:t>
      </w:r>
      <w:proofErr w:type="gramStart"/>
      <w:r w:rsidRPr="00FE783B">
        <w:rPr>
          <w:rFonts w:ascii="Arial" w:eastAsia="Arial" w:hAnsi="Arial" w:cs="Arial"/>
          <w:sz w:val="22"/>
          <w:szCs w:val="22"/>
          <w:lang w:val="en-US"/>
        </w:rPr>
        <w:t>in order to</w:t>
      </w:r>
      <w:proofErr w:type="gramEnd"/>
      <w:r w:rsidRPr="00FE783B">
        <w:rPr>
          <w:rFonts w:ascii="Arial" w:eastAsia="Arial" w:hAnsi="Arial" w:cs="Arial"/>
          <w:sz w:val="22"/>
          <w:szCs w:val="22"/>
          <w:lang w:val="en-US"/>
        </w:rPr>
        <w:t xml:space="preserve"> broaden their knowledge and understanding beyond the core content delivered in lectures.</w:t>
      </w:r>
    </w:p>
    <w:p w14:paraId="186FD750" w14:textId="77777777" w:rsidR="00FE783B" w:rsidRPr="00FE783B" w:rsidRDefault="00FE783B" w:rsidP="00FE783B">
      <w:pPr>
        <w:widowControl w:val="0"/>
        <w:spacing w:after="120"/>
        <w:contextualSpacing/>
        <w:rPr>
          <w:rFonts w:ascii="Arial" w:eastAsia="Arial" w:hAnsi="Arial" w:cs="Arial"/>
          <w:sz w:val="22"/>
          <w:szCs w:val="22"/>
          <w:lang w:val="en-US"/>
        </w:rPr>
      </w:pPr>
    </w:p>
    <w:p w14:paraId="6E33DF64" w14:textId="77777777" w:rsidR="00BC319D" w:rsidRPr="00FE783B" w:rsidRDefault="00BC319D">
      <w:pPr>
        <w:rPr>
          <w:lang w:val="en-US"/>
        </w:rPr>
      </w:pPr>
    </w:p>
    <w:sectPr w:rsidR="00BC319D" w:rsidRPr="00FE783B" w:rsidSect="00FE783B">
      <w:headerReference w:type="first" r:id="rId7"/>
      <w:pgSz w:w="11900" w:h="16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E41F" w14:textId="77777777" w:rsidR="00772CE6" w:rsidRDefault="00772CE6" w:rsidP="00FE783B">
      <w:r>
        <w:separator/>
      </w:r>
    </w:p>
  </w:endnote>
  <w:endnote w:type="continuationSeparator" w:id="0">
    <w:p w14:paraId="0F3D6C25" w14:textId="77777777" w:rsidR="00772CE6" w:rsidRDefault="00772CE6" w:rsidP="00FE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DF0D" w14:textId="77777777" w:rsidR="00772CE6" w:rsidRDefault="00772CE6" w:rsidP="00FE783B">
      <w:r>
        <w:separator/>
      </w:r>
    </w:p>
  </w:footnote>
  <w:footnote w:type="continuationSeparator" w:id="0">
    <w:p w14:paraId="79AEC68F" w14:textId="77777777" w:rsidR="00772CE6" w:rsidRDefault="00772CE6" w:rsidP="00FE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E94A" w14:textId="0D65E87A" w:rsidR="00FE783B" w:rsidRDefault="00FE783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257"/>
    <w:multiLevelType w:val="multilevel"/>
    <w:tmpl w:val="0C0EB404"/>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2060CA"/>
    <w:multiLevelType w:val="multilevel"/>
    <w:tmpl w:val="631493A0"/>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2F6AC6"/>
    <w:multiLevelType w:val="multilevel"/>
    <w:tmpl w:val="33B27D48"/>
    <w:lvl w:ilvl="0">
      <w:start w:val="1"/>
      <w:numFmt w:val="bullet"/>
      <w:lvlText w:val=""/>
      <w:lvlJc w:val="left"/>
      <w:pPr>
        <w:ind w:left="720" w:hanging="360"/>
      </w:pPr>
      <w:rPr>
        <w:rFonts w:ascii="Wingdings" w:hAnsi="Wingdings" w:hint="default"/>
        <w:b w:val="0"/>
        <w:bCs w:val="0"/>
        <w:i w:val="0"/>
        <w:iCs w:val="0"/>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F05E47"/>
    <w:multiLevelType w:val="multilevel"/>
    <w:tmpl w:val="61AA1BCE"/>
    <w:lvl w:ilvl="0">
      <w:start w:val="1"/>
      <w:numFmt w:val="decimal"/>
      <w:lvlText w:val="%1."/>
      <w:lvlJc w:val="left"/>
      <w:pPr>
        <w:ind w:left="720" w:hanging="360"/>
      </w:pPr>
      <w:rPr>
        <w:rFonts w:hint="default"/>
        <w:b w:val="0"/>
        <w:bCs w:val="0"/>
        <w:i w:val="0"/>
        <w:iCs w:val="0"/>
        <w:w w:val="1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2463418">
    <w:abstractNumId w:val="3"/>
  </w:num>
  <w:num w:numId="2" w16cid:durableId="1850288024">
    <w:abstractNumId w:val="0"/>
  </w:num>
  <w:num w:numId="3" w16cid:durableId="1842114392">
    <w:abstractNumId w:val="2"/>
  </w:num>
  <w:num w:numId="4" w16cid:durableId="208243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3B"/>
    <w:rsid w:val="002F545A"/>
    <w:rsid w:val="00605D61"/>
    <w:rsid w:val="00772CE6"/>
    <w:rsid w:val="00A0510C"/>
    <w:rsid w:val="00BC319D"/>
    <w:rsid w:val="00C64B42"/>
    <w:rsid w:val="00FE783B"/>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D36920A"/>
  <w15:chartTrackingRefBased/>
  <w15:docId w15:val="{971D0869-BEAF-ED4C-9ED1-DE924407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8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8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8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8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83B"/>
    <w:rPr>
      <w:rFonts w:eastAsiaTheme="majorEastAsia" w:cstheme="majorBidi"/>
      <w:color w:val="272727" w:themeColor="text1" w:themeTint="D8"/>
    </w:rPr>
  </w:style>
  <w:style w:type="paragraph" w:styleId="Title">
    <w:name w:val="Title"/>
    <w:basedOn w:val="Normal"/>
    <w:next w:val="Normal"/>
    <w:link w:val="TitleChar"/>
    <w:uiPriority w:val="10"/>
    <w:qFormat/>
    <w:rsid w:val="00FE78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8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8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783B"/>
    <w:rPr>
      <w:i/>
      <w:iCs/>
      <w:color w:val="404040" w:themeColor="text1" w:themeTint="BF"/>
    </w:rPr>
  </w:style>
  <w:style w:type="paragraph" w:styleId="ListParagraph">
    <w:name w:val="List Paragraph"/>
    <w:basedOn w:val="Normal"/>
    <w:uiPriority w:val="34"/>
    <w:qFormat/>
    <w:rsid w:val="00FE783B"/>
    <w:pPr>
      <w:ind w:left="720"/>
      <w:contextualSpacing/>
    </w:pPr>
  </w:style>
  <w:style w:type="character" w:styleId="IntenseEmphasis">
    <w:name w:val="Intense Emphasis"/>
    <w:basedOn w:val="DefaultParagraphFont"/>
    <w:uiPriority w:val="21"/>
    <w:qFormat/>
    <w:rsid w:val="00FE783B"/>
    <w:rPr>
      <w:i/>
      <w:iCs/>
      <w:color w:val="0F4761" w:themeColor="accent1" w:themeShade="BF"/>
    </w:rPr>
  </w:style>
  <w:style w:type="paragraph" w:styleId="IntenseQuote">
    <w:name w:val="Intense Quote"/>
    <w:basedOn w:val="Normal"/>
    <w:next w:val="Normal"/>
    <w:link w:val="IntenseQuoteChar"/>
    <w:uiPriority w:val="30"/>
    <w:qFormat/>
    <w:rsid w:val="00FE7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83B"/>
    <w:rPr>
      <w:i/>
      <w:iCs/>
      <w:color w:val="0F4761" w:themeColor="accent1" w:themeShade="BF"/>
    </w:rPr>
  </w:style>
  <w:style w:type="character" w:styleId="IntenseReference">
    <w:name w:val="Intense Reference"/>
    <w:basedOn w:val="DefaultParagraphFont"/>
    <w:uiPriority w:val="32"/>
    <w:qFormat/>
    <w:rsid w:val="00FE783B"/>
    <w:rPr>
      <w:b/>
      <w:bCs/>
      <w:smallCaps/>
      <w:color w:val="0F4761" w:themeColor="accent1" w:themeShade="BF"/>
      <w:spacing w:val="5"/>
    </w:rPr>
  </w:style>
  <w:style w:type="table" w:customStyle="1" w:styleId="TableGridLight1">
    <w:name w:val="Table Grid Light1"/>
    <w:basedOn w:val="TableNormal"/>
    <w:next w:val="TableGridLight"/>
    <w:uiPriority w:val="40"/>
    <w:rsid w:val="00FE783B"/>
    <w:pPr>
      <w:widowControl w:val="0"/>
      <w:spacing w:after="120"/>
    </w:pPr>
    <w:rPr>
      <w:rFonts w:ascii="Arial" w:eastAsia="Arial" w:hAnsi="Arial" w:cs="Arial"/>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E78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E783B"/>
    <w:pPr>
      <w:tabs>
        <w:tab w:val="center" w:pos="4513"/>
        <w:tab w:val="right" w:pos="9026"/>
      </w:tabs>
    </w:pPr>
  </w:style>
  <w:style w:type="character" w:customStyle="1" w:styleId="HeaderChar">
    <w:name w:val="Header Char"/>
    <w:basedOn w:val="DefaultParagraphFont"/>
    <w:link w:val="Header"/>
    <w:uiPriority w:val="99"/>
    <w:rsid w:val="00FE783B"/>
  </w:style>
  <w:style w:type="paragraph" w:styleId="Footer">
    <w:name w:val="footer"/>
    <w:basedOn w:val="Normal"/>
    <w:link w:val="FooterChar"/>
    <w:uiPriority w:val="99"/>
    <w:unhideWhenUsed/>
    <w:rsid w:val="00FE783B"/>
    <w:pPr>
      <w:tabs>
        <w:tab w:val="center" w:pos="4513"/>
        <w:tab w:val="right" w:pos="9026"/>
      </w:tabs>
    </w:pPr>
  </w:style>
  <w:style w:type="character" w:customStyle="1" w:styleId="FooterChar">
    <w:name w:val="Footer Char"/>
    <w:basedOn w:val="DefaultParagraphFont"/>
    <w:link w:val="Footer"/>
    <w:uiPriority w:val="99"/>
    <w:rsid w:val="00FE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1811</Words>
  <Characters>10327</Characters>
  <Application>Microsoft Office Word</Application>
  <DocSecurity>0</DocSecurity>
  <Lines>86</Lines>
  <Paragraphs>24</Paragraphs>
  <ScaleCrop>false</ScaleCrop>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2025-08-22T13:03:00Z</dcterms:created>
  <dcterms:modified xsi:type="dcterms:W3CDTF">2025-08-22T13:04:00Z</dcterms:modified>
</cp:coreProperties>
</file>