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B157" w14:textId="77777777" w:rsidR="00BA77BC" w:rsidRPr="00AB3A2A" w:rsidRDefault="00BA77BC" w:rsidP="00BA77BC">
      <w:pPr>
        <w:pStyle w:val="Heading2"/>
        <w:spacing w:before="0" w:after="0" w:line="276" w:lineRule="auto"/>
        <w:jc w:val="both"/>
        <w:rPr>
          <w:i/>
          <w:iCs/>
          <w:color w:val="404040" w:themeColor="text1" w:themeTint="BF"/>
          <w:kern w:val="36"/>
          <w:lang w:val="en-US" w:eastAsia="en-GB"/>
        </w:rPr>
      </w:pPr>
      <w:bookmarkStart w:id="0" w:name="_Toc526326836"/>
      <w:bookmarkStart w:id="1" w:name="_Toc535511471"/>
      <w:bookmarkStart w:id="2" w:name="_Toc151134730"/>
      <w:r w:rsidRPr="00AB3A2A">
        <w:rPr>
          <w:color w:val="404040" w:themeColor="text1" w:themeTint="BF"/>
          <w:kern w:val="36"/>
          <w:lang w:val="en-US" w:eastAsia="en-GB"/>
        </w:rPr>
        <w:t>MA ADVANCED ENGLISH</w:t>
      </w:r>
      <w:bookmarkEnd w:id="0"/>
      <w:bookmarkEnd w:id="1"/>
      <w:bookmarkEnd w:id="2"/>
      <w:r w:rsidRPr="00AB3A2A">
        <w:rPr>
          <w:color w:val="404040" w:themeColor="text1" w:themeTint="BF"/>
          <w:kern w:val="36"/>
          <w:lang w:val="en-US" w:eastAsia="en-GB"/>
        </w:rPr>
        <w:t xml:space="preserve"> </w:t>
      </w:r>
    </w:p>
    <w:p w14:paraId="0D4E110E" w14:textId="77777777" w:rsidR="00BA77BC" w:rsidRPr="00AB3A2A" w:rsidRDefault="00BA77BC" w:rsidP="00BA77BC">
      <w:pPr>
        <w:spacing w:line="276" w:lineRule="auto"/>
        <w:jc w:val="both"/>
        <w:rPr>
          <w:rFonts w:ascii="DINCE-Regular" w:hAnsi="DINCE-Regular"/>
          <w:color w:val="404040" w:themeColor="text1" w:themeTint="BF"/>
          <w:lang w:val="en-US" w:eastAsia="en-GB"/>
        </w:rPr>
      </w:pPr>
    </w:p>
    <w:p w14:paraId="06F0ED47"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1. MODULE SUMMARY</w:t>
      </w:r>
    </w:p>
    <w:p w14:paraId="63CB7031"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Aims and Summary</w:t>
      </w:r>
    </w:p>
    <w:p w14:paraId="0E9BF8DF" w14:textId="77777777" w:rsidR="00BA77BC" w:rsidRPr="00AB3A2A" w:rsidRDefault="00BA77BC" w:rsidP="00BA77BC">
      <w:pPr>
        <w:shd w:val="clear" w:color="auto" w:fill="FFFFFF"/>
        <w:spacing w:line="276" w:lineRule="auto"/>
        <w:jc w:val="both"/>
        <w:outlineLvl w:val="4"/>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The aim of the course is to provide advanced language support for students who must simultaneously acquire the knowledge of academic writing rules, thus be able to write academic papers (essays and research papers), develop the style and vocabulary characteristic of academic writing. It focuses on a variety of complex grammatical areas, lexical problem areas, revised and consolidated through various exercises on the advanced level. Alongside, it provides theoretical background and thorough analysis of grammar issues. All abovementioned aim to lead to developing proficient writing skills, indispensable for students in their university course. In terms of academic writing principles implemented parallel with language issues throughout this course, it teaches learners how to structure paragraphs using various linguistic devices, how to order and link them into cohesive and coherent essays, and how to write various types of papers that are required in written academic assignments. It makes students familiar with different strategies of writing used in the academic context, as well as importing information from outside sources in their writing using such ways that they avoid committing plagiarism. A great emphasis is placed on the documentation of sources, thereby preparing students for writing dissertation papers. Different strategies of summarizing and paraphrasing, as well as synthesizing are explained and practiced. </w:t>
      </w:r>
    </w:p>
    <w:p w14:paraId="10A73A2A" w14:textId="77777777" w:rsidR="00BA77BC" w:rsidRPr="00AB3A2A" w:rsidRDefault="00BA77BC" w:rsidP="00BA77BC">
      <w:pPr>
        <w:shd w:val="clear" w:color="auto" w:fill="FFFFFF"/>
        <w:spacing w:line="276" w:lineRule="auto"/>
        <w:jc w:val="both"/>
        <w:outlineLvl w:val="4"/>
        <w:rPr>
          <w:rFonts w:ascii="DINCE-Regular" w:hAnsi="DINCE-Regular"/>
          <w:b/>
          <w:color w:val="404040" w:themeColor="text1" w:themeTint="BF"/>
          <w:sz w:val="22"/>
          <w:szCs w:val="22"/>
          <w:lang w:val="en-GB"/>
        </w:rPr>
      </w:pPr>
      <w:r w:rsidRPr="00AB3A2A">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6"/>
        <w:gridCol w:w="5740"/>
      </w:tblGrid>
      <w:tr w:rsidR="00BA77BC" w:rsidRPr="00AB3A2A" w14:paraId="2256B206" w14:textId="77777777" w:rsidTr="00FE71EB">
        <w:trPr>
          <w:trHeight w:val="432"/>
          <w:tblCellSpacing w:w="15" w:type="dxa"/>
        </w:trPr>
        <w:tc>
          <w:tcPr>
            <w:tcW w:w="0" w:type="auto"/>
            <w:tcMar>
              <w:top w:w="15" w:type="dxa"/>
              <w:left w:w="480" w:type="dxa"/>
              <w:bottom w:w="15" w:type="dxa"/>
              <w:right w:w="240" w:type="dxa"/>
            </w:tcMar>
            <w:vAlign w:val="center"/>
          </w:tcPr>
          <w:p w14:paraId="0AAD4ED5"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eastAsia="SimSun" w:hAnsi="DINCE-Regular" w:cs="Mangal"/>
                <w:b/>
                <w:bCs/>
                <w:color w:val="404040" w:themeColor="text1" w:themeTint="BF"/>
                <w:kern w:val="3"/>
                <w:sz w:val="22"/>
                <w:szCs w:val="22"/>
                <w:lang w:eastAsia="en-GB" w:bidi="hi-IN"/>
              </w:rPr>
              <w:t xml:space="preserve">ECTS </w:t>
            </w:r>
            <w:proofErr w:type="spellStart"/>
            <w:r w:rsidRPr="00AB3A2A">
              <w:rPr>
                <w:rFonts w:ascii="DINCE-Regular" w:eastAsia="SimSun" w:hAnsi="DINCE-Regular" w:cs="Mangal"/>
                <w:b/>
                <w:bCs/>
                <w:color w:val="404040" w:themeColor="text1" w:themeTint="BF"/>
                <w:kern w:val="3"/>
                <w:sz w:val="22"/>
                <w:szCs w:val="22"/>
                <w:lang w:eastAsia="en-GB" w:bidi="hi-IN"/>
              </w:rPr>
              <w:t>credits</w:t>
            </w:r>
            <w:proofErr w:type="spellEnd"/>
          </w:p>
        </w:tc>
        <w:tc>
          <w:tcPr>
            <w:tcW w:w="0" w:type="auto"/>
            <w:vAlign w:val="center"/>
          </w:tcPr>
          <w:p w14:paraId="35B60125"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eastAsia="SimSun" w:hAnsi="DINCE-Regular" w:cs="Mangal"/>
                <w:color w:val="404040" w:themeColor="text1" w:themeTint="BF"/>
                <w:kern w:val="3"/>
                <w:sz w:val="22"/>
                <w:szCs w:val="22"/>
                <w:lang w:eastAsia="en-GB" w:bidi="hi-IN"/>
              </w:rPr>
              <w:t>5.0</w:t>
            </w:r>
          </w:p>
        </w:tc>
      </w:tr>
      <w:tr w:rsidR="00BA77BC" w:rsidRPr="00AB3A2A" w14:paraId="7F4F4B01" w14:textId="77777777" w:rsidTr="00FE71EB">
        <w:trPr>
          <w:trHeight w:val="432"/>
          <w:tblCellSpacing w:w="15" w:type="dxa"/>
        </w:trPr>
        <w:tc>
          <w:tcPr>
            <w:tcW w:w="0" w:type="auto"/>
            <w:tcMar>
              <w:top w:w="15" w:type="dxa"/>
              <w:left w:w="480" w:type="dxa"/>
              <w:bottom w:w="15" w:type="dxa"/>
              <w:right w:w="240" w:type="dxa"/>
            </w:tcMar>
            <w:vAlign w:val="center"/>
          </w:tcPr>
          <w:p w14:paraId="72F851E4"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eastAsia="SimSun" w:hAnsi="DINCE-Regular" w:cs="Mangal"/>
                <w:b/>
                <w:bCs/>
                <w:color w:val="404040" w:themeColor="text1" w:themeTint="BF"/>
                <w:kern w:val="3"/>
                <w:sz w:val="22"/>
                <w:szCs w:val="22"/>
                <w:lang w:eastAsia="en-GB" w:bidi="hi-IN"/>
              </w:rPr>
              <w:t xml:space="preserve">Total student </w:t>
            </w:r>
            <w:proofErr w:type="spellStart"/>
            <w:r w:rsidRPr="00AB3A2A">
              <w:rPr>
                <w:rFonts w:ascii="DINCE-Regular" w:eastAsia="SimSun" w:hAnsi="DINCE-Regular" w:cs="Mangal"/>
                <w:b/>
                <w:bCs/>
                <w:color w:val="404040" w:themeColor="text1" w:themeTint="BF"/>
                <w:kern w:val="3"/>
                <w:sz w:val="22"/>
                <w:szCs w:val="22"/>
                <w:lang w:eastAsia="en-GB" w:bidi="hi-IN"/>
              </w:rPr>
              <w:t>study</w:t>
            </w:r>
            <w:proofErr w:type="spellEnd"/>
            <w:r w:rsidRPr="00AB3A2A">
              <w:rPr>
                <w:rFonts w:ascii="DINCE-Regular" w:eastAsia="SimSun" w:hAnsi="DINCE-Regular" w:cs="Mangal"/>
                <w:b/>
                <w:bCs/>
                <w:color w:val="404040" w:themeColor="text1" w:themeTint="BF"/>
                <w:kern w:val="3"/>
                <w:sz w:val="22"/>
                <w:szCs w:val="22"/>
                <w:lang w:eastAsia="en-GB" w:bidi="hi-IN"/>
              </w:rPr>
              <w:t xml:space="preserve"> </w:t>
            </w:r>
            <w:proofErr w:type="spellStart"/>
            <w:r w:rsidRPr="00AB3A2A">
              <w:rPr>
                <w:rFonts w:ascii="DINCE-Regular" w:eastAsia="SimSun" w:hAnsi="DINCE-Regular" w:cs="Mangal"/>
                <w:b/>
                <w:bCs/>
                <w:color w:val="404040" w:themeColor="text1" w:themeTint="BF"/>
                <w:kern w:val="3"/>
                <w:sz w:val="22"/>
                <w:szCs w:val="22"/>
                <w:lang w:eastAsia="en-GB" w:bidi="hi-IN"/>
              </w:rPr>
              <w:t>hours</w:t>
            </w:r>
            <w:proofErr w:type="spellEnd"/>
          </w:p>
        </w:tc>
        <w:tc>
          <w:tcPr>
            <w:tcW w:w="0" w:type="auto"/>
            <w:vAlign w:val="center"/>
          </w:tcPr>
          <w:p w14:paraId="3B6A7D22"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eastAsia="SimSun" w:hAnsi="DINCE-Regular" w:cs="Mangal"/>
                <w:color w:val="404040" w:themeColor="text1" w:themeTint="BF"/>
                <w:kern w:val="3"/>
                <w:sz w:val="22"/>
                <w:szCs w:val="22"/>
                <w:lang w:eastAsia="en-GB" w:bidi="hi-IN"/>
              </w:rPr>
              <w:t>100</w:t>
            </w:r>
          </w:p>
        </w:tc>
      </w:tr>
      <w:tr w:rsidR="00BA77BC" w:rsidRPr="00AB3A2A" w14:paraId="7EF79FC2" w14:textId="77777777" w:rsidTr="00FE71EB">
        <w:trPr>
          <w:trHeight w:val="432"/>
          <w:tblCellSpacing w:w="15" w:type="dxa"/>
        </w:trPr>
        <w:tc>
          <w:tcPr>
            <w:tcW w:w="0" w:type="auto"/>
            <w:tcMar>
              <w:top w:w="15" w:type="dxa"/>
              <w:left w:w="480" w:type="dxa"/>
              <w:bottom w:w="15" w:type="dxa"/>
              <w:right w:w="240" w:type="dxa"/>
            </w:tcMar>
            <w:vAlign w:val="center"/>
          </w:tcPr>
          <w:p w14:paraId="1FFD5469"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eastAsia="SimSun" w:hAnsi="DINCE-Regular" w:cs="Mangal"/>
                <w:b/>
                <w:bCs/>
                <w:color w:val="404040" w:themeColor="text1" w:themeTint="BF"/>
                <w:kern w:val="3"/>
                <w:sz w:val="22"/>
                <w:szCs w:val="22"/>
                <w:lang w:eastAsia="en-GB" w:bidi="hi-IN"/>
              </w:rPr>
              <w:t>Number</w:t>
            </w:r>
            <w:proofErr w:type="spellEnd"/>
            <w:r w:rsidRPr="00AB3A2A">
              <w:rPr>
                <w:rFonts w:ascii="DINCE-Regular" w:eastAsia="SimSun" w:hAnsi="DINCE-Regular" w:cs="Mangal"/>
                <w:b/>
                <w:bCs/>
                <w:color w:val="404040" w:themeColor="text1" w:themeTint="BF"/>
                <w:kern w:val="3"/>
                <w:sz w:val="22"/>
                <w:szCs w:val="22"/>
                <w:lang w:eastAsia="en-GB" w:bidi="hi-IN"/>
              </w:rPr>
              <w:t xml:space="preserve"> of </w:t>
            </w:r>
            <w:proofErr w:type="spellStart"/>
            <w:r w:rsidRPr="00AB3A2A">
              <w:rPr>
                <w:rFonts w:ascii="DINCE-Regular" w:eastAsia="SimSun" w:hAnsi="DINCE-Regular" w:cs="Mangal"/>
                <w:b/>
                <w:bCs/>
                <w:color w:val="404040" w:themeColor="text1" w:themeTint="BF"/>
                <w:kern w:val="3"/>
                <w:sz w:val="22"/>
                <w:szCs w:val="22"/>
                <w:lang w:eastAsia="en-GB" w:bidi="hi-IN"/>
              </w:rPr>
              <w:t>weeks</w:t>
            </w:r>
            <w:proofErr w:type="spellEnd"/>
          </w:p>
        </w:tc>
        <w:tc>
          <w:tcPr>
            <w:tcW w:w="0" w:type="auto"/>
            <w:vAlign w:val="center"/>
          </w:tcPr>
          <w:p w14:paraId="549BFAF6"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eastAsia="SimSun" w:hAnsi="DINCE-Regular" w:cs="Mangal"/>
                <w:color w:val="404040" w:themeColor="text1" w:themeTint="BF"/>
                <w:kern w:val="3"/>
                <w:sz w:val="22"/>
                <w:szCs w:val="22"/>
                <w:lang w:eastAsia="en-GB" w:bidi="hi-IN"/>
              </w:rPr>
              <w:t>12</w:t>
            </w:r>
          </w:p>
        </w:tc>
      </w:tr>
      <w:tr w:rsidR="00BA77BC" w:rsidRPr="00BA77BC" w14:paraId="27A07E9E" w14:textId="77777777" w:rsidTr="00FE71EB">
        <w:trPr>
          <w:trHeight w:val="432"/>
          <w:tblCellSpacing w:w="15" w:type="dxa"/>
        </w:trPr>
        <w:tc>
          <w:tcPr>
            <w:tcW w:w="0" w:type="auto"/>
            <w:tcMar>
              <w:top w:w="15" w:type="dxa"/>
              <w:left w:w="480" w:type="dxa"/>
              <w:bottom w:w="15" w:type="dxa"/>
              <w:right w:w="240" w:type="dxa"/>
            </w:tcMar>
            <w:vAlign w:val="center"/>
          </w:tcPr>
          <w:p w14:paraId="7CB8C0FF"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eastAsia="SimSun" w:hAnsi="DINCE-Regular" w:cs="Mangal"/>
                <w:b/>
                <w:bCs/>
                <w:color w:val="404040" w:themeColor="text1" w:themeTint="BF"/>
                <w:kern w:val="3"/>
                <w:sz w:val="22"/>
                <w:szCs w:val="22"/>
                <w:lang w:eastAsia="en-GB" w:bidi="hi-IN"/>
              </w:rPr>
              <w:t xml:space="preserve">School </w:t>
            </w:r>
            <w:proofErr w:type="spellStart"/>
            <w:r w:rsidRPr="00AB3A2A">
              <w:rPr>
                <w:rFonts w:ascii="DINCE-Regular" w:eastAsia="SimSun" w:hAnsi="DINCE-Regular" w:cs="Mangal"/>
                <w:b/>
                <w:bCs/>
                <w:color w:val="404040" w:themeColor="text1" w:themeTint="BF"/>
                <w:kern w:val="3"/>
                <w:sz w:val="22"/>
                <w:szCs w:val="22"/>
                <w:lang w:eastAsia="en-GB" w:bidi="hi-IN"/>
              </w:rPr>
              <w:t>responsible</w:t>
            </w:r>
            <w:proofErr w:type="spellEnd"/>
          </w:p>
        </w:tc>
        <w:tc>
          <w:tcPr>
            <w:tcW w:w="0" w:type="auto"/>
            <w:vAlign w:val="center"/>
          </w:tcPr>
          <w:p w14:paraId="56D0E9A7"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hAnsi="DINCE-Regular"/>
                <w:color w:val="404040" w:themeColor="text1" w:themeTint="BF"/>
                <w:sz w:val="22"/>
                <w:szCs w:val="22"/>
                <w:lang w:val="en-GB"/>
              </w:rPr>
              <w:t>Łazarski</w:t>
            </w:r>
            <w:proofErr w:type="spellEnd"/>
            <w:r w:rsidRPr="00AB3A2A">
              <w:rPr>
                <w:rFonts w:ascii="DINCE-Regular" w:hAnsi="DINCE-Regular"/>
                <w:color w:val="404040" w:themeColor="text1" w:themeTint="BF"/>
                <w:sz w:val="22"/>
                <w:szCs w:val="22"/>
                <w:lang w:val="en-GB"/>
              </w:rPr>
              <w:t xml:space="preserve"> University, </w:t>
            </w:r>
            <w:r w:rsidRPr="00AB3A2A">
              <w:rPr>
                <w:rFonts w:ascii="DINCE-Regular" w:eastAsia="SimSun" w:hAnsi="DINCE-Regular" w:cs="Mangal"/>
                <w:color w:val="404040" w:themeColor="text1" w:themeTint="BF"/>
                <w:kern w:val="3"/>
                <w:sz w:val="22"/>
                <w:szCs w:val="22"/>
                <w:lang w:val="en-US" w:eastAsia="en-GB" w:bidi="hi-IN"/>
              </w:rPr>
              <w:t>Faculty of Economics and Management</w:t>
            </w:r>
          </w:p>
        </w:tc>
      </w:tr>
    </w:tbl>
    <w:p w14:paraId="4F8B35E2"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Entry Requirements (pre-requisites and co-requisites)</w:t>
      </w:r>
    </w:p>
    <w:p w14:paraId="2A9EFB0A"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B2 level English</w:t>
      </w:r>
    </w:p>
    <w:p w14:paraId="3011839A"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Excluded Combinations</w:t>
      </w:r>
    </w:p>
    <w:p w14:paraId="2AF28409"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None</w:t>
      </w:r>
    </w:p>
    <w:p w14:paraId="34C025FC"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Composition of module mark (including weighting of components)</w:t>
      </w:r>
    </w:p>
    <w:p w14:paraId="4A7E10C9"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Coursework 60%: two in-class exams each worth </w:t>
      </w:r>
      <w:proofErr w:type="gramStart"/>
      <w:r w:rsidRPr="00AB3A2A">
        <w:rPr>
          <w:rFonts w:ascii="DINCE-Regular" w:eastAsia="SimSun" w:hAnsi="DINCE-Regular" w:cs="Mangal"/>
          <w:color w:val="404040" w:themeColor="text1" w:themeTint="BF"/>
          <w:kern w:val="3"/>
          <w:sz w:val="22"/>
          <w:szCs w:val="22"/>
          <w:lang w:val="en-US" w:eastAsia="en-GB" w:bidi="hi-IN"/>
        </w:rPr>
        <w:t>30%;</w:t>
      </w:r>
      <w:proofErr w:type="gramEnd"/>
    </w:p>
    <w:p w14:paraId="6156B97F"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Final exam 40% </w:t>
      </w:r>
    </w:p>
    <w:p w14:paraId="57172C1B"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Pass requirements</w:t>
      </w:r>
    </w:p>
    <w:p w14:paraId="2F03E206"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To pass the course a student must score at least 40% of the overall weighted average and not less than 35% for each assessment component (i.e. final exam and coursework). Re-assessment: coursework component(s) and/or examination as appropriate. </w:t>
      </w:r>
    </w:p>
    <w:p w14:paraId="4302CE54"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Special Features</w:t>
      </w:r>
    </w:p>
    <w:p w14:paraId="5DB257A9"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None</w:t>
      </w:r>
    </w:p>
    <w:p w14:paraId="1DD9E4DC"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lastRenderedPageBreak/>
        <w:t>Course stages for which this module is mandatory</w:t>
      </w:r>
    </w:p>
    <w:p w14:paraId="4B2D8611"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MA Year 1 International Relations</w:t>
      </w:r>
    </w:p>
    <w:p w14:paraId="2C7D1238"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Course stages for which this module is a core option</w:t>
      </w:r>
    </w:p>
    <w:p w14:paraId="5530B23A"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None</w:t>
      </w:r>
    </w:p>
    <w:p w14:paraId="48324AA3"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4C663AD0"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2. TEACHING, LEARNING AND ASSESSMENT</w:t>
      </w:r>
    </w:p>
    <w:p w14:paraId="08EB111C"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Intended Module Learning Outcomes</w:t>
      </w:r>
    </w:p>
    <w:p w14:paraId="3CFC26F4"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The intended learning outcomes are that on completion of this module, the student should be able to:</w:t>
      </w:r>
    </w:p>
    <w:p w14:paraId="306F38EE"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Demonstrate advanced language skills in the context of academic </w:t>
      </w:r>
      <w:proofErr w:type="gramStart"/>
      <w:r w:rsidRPr="00AB3A2A">
        <w:rPr>
          <w:rFonts w:ascii="DINCE-Regular" w:eastAsia="SimSun" w:hAnsi="DINCE-Regular" w:cs="Mangal"/>
          <w:color w:val="404040" w:themeColor="text1" w:themeTint="BF"/>
          <w:kern w:val="3"/>
          <w:sz w:val="22"/>
          <w:szCs w:val="22"/>
          <w:lang w:val="en-US" w:eastAsia="en-GB" w:bidi="hi-IN"/>
        </w:rPr>
        <w:t>writing;</w:t>
      </w:r>
      <w:proofErr w:type="gramEnd"/>
    </w:p>
    <w:p w14:paraId="35E7D795"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Write well-supported essays using different patterns of development, taking into consideration purpose and </w:t>
      </w:r>
      <w:proofErr w:type="gramStart"/>
      <w:r w:rsidRPr="00AB3A2A">
        <w:rPr>
          <w:rFonts w:ascii="DINCE-Regular" w:eastAsia="SimSun" w:hAnsi="DINCE-Regular" w:cs="Mangal"/>
          <w:color w:val="404040" w:themeColor="text1" w:themeTint="BF"/>
          <w:kern w:val="3"/>
          <w:sz w:val="22"/>
          <w:szCs w:val="22"/>
          <w:lang w:val="en-US" w:eastAsia="en-GB" w:bidi="hi-IN"/>
        </w:rPr>
        <w:t>audience;</w:t>
      </w:r>
      <w:proofErr w:type="gramEnd"/>
    </w:p>
    <w:p w14:paraId="1A462FCB"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Write critical analyses, summaries and literature </w:t>
      </w:r>
      <w:proofErr w:type="gramStart"/>
      <w:r w:rsidRPr="00AB3A2A">
        <w:rPr>
          <w:rFonts w:ascii="DINCE-Regular" w:eastAsia="SimSun" w:hAnsi="DINCE-Regular" w:cs="Mangal"/>
          <w:color w:val="404040" w:themeColor="text1" w:themeTint="BF"/>
          <w:kern w:val="3"/>
          <w:sz w:val="22"/>
          <w:szCs w:val="22"/>
          <w:lang w:val="en-US" w:eastAsia="en-GB" w:bidi="hi-IN"/>
        </w:rPr>
        <w:t>reviews;</w:t>
      </w:r>
      <w:proofErr w:type="gramEnd"/>
      <w:r w:rsidRPr="00AB3A2A">
        <w:rPr>
          <w:rFonts w:ascii="DINCE-Regular" w:eastAsia="SimSun" w:hAnsi="DINCE-Regular" w:cs="Mangal"/>
          <w:color w:val="404040" w:themeColor="text1" w:themeTint="BF"/>
          <w:kern w:val="3"/>
          <w:sz w:val="22"/>
          <w:szCs w:val="22"/>
          <w:lang w:val="en-US" w:eastAsia="en-GB" w:bidi="hi-IN"/>
        </w:rPr>
        <w:t xml:space="preserve"> </w:t>
      </w:r>
    </w:p>
    <w:p w14:paraId="11A44F39"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Demonstrate techniques to avoid plagiarism (paraphrasing, summarizing and direct quoting) and produce research papers with correct in-text citations and reference lists, using Harvard documentation </w:t>
      </w:r>
      <w:proofErr w:type="gramStart"/>
      <w:r w:rsidRPr="00AB3A2A">
        <w:rPr>
          <w:rFonts w:ascii="DINCE-Regular" w:eastAsia="SimSun" w:hAnsi="DINCE-Regular" w:cs="Mangal"/>
          <w:color w:val="404040" w:themeColor="text1" w:themeTint="BF"/>
          <w:kern w:val="3"/>
          <w:sz w:val="22"/>
          <w:szCs w:val="22"/>
          <w:lang w:val="en-US" w:eastAsia="en-GB" w:bidi="hi-IN"/>
        </w:rPr>
        <w:t>style;</w:t>
      </w:r>
      <w:proofErr w:type="gramEnd"/>
    </w:p>
    <w:p w14:paraId="677FF454"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Demonstrate an awareness of approaches to research and associated </w:t>
      </w:r>
      <w:proofErr w:type="gramStart"/>
      <w:r w:rsidRPr="00AB3A2A">
        <w:rPr>
          <w:rFonts w:ascii="DINCE-Regular" w:eastAsia="SimSun" w:hAnsi="DINCE-Regular" w:cs="Mangal"/>
          <w:color w:val="404040" w:themeColor="text1" w:themeTint="BF"/>
          <w:kern w:val="3"/>
          <w:sz w:val="22"/>
          <w:szCs w:val="22"/>
          <w:lang w:val="en-US" w:eastAsia="en-GB" w:bidi="hi-IN"/>
        </w:rPr>
        <w:t>problems;</w:t>
      </w:r>
      <w:proofErr w:type="gramEnd"/>
    </w:p>
    <w:p w14:paraId="32CD2451"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Display analytical, critical, communication and presentation skills to a level appropriate to the </w:t>
      </w:r>
      <w:proofErr w:type="gramStart"/>
      <w:r w:rsidRPr="00AB3A2A">
        <w:rPr>
          <w:rFonts w:ascii="DINCE-Regular" w:eastAsia="SimSun" w:hAnsi="DINCE-Regular" w:cs="Mangal"/>
          <w:color w:val="404040" w:themeColor="text1" w:themeTint="BF"/>
          <w:kern w:val="3"/>
          <w:sz w:val="22"/>
          <w:szCs w:val="22"/>
          <w:lang w:val="en-US" w:eastAsia="en-GB" w:bidi="hi-IN"/>
        </w:rPr>
        <w:t>module;</w:t>
      </w:r>
      <w:proofErr w:type="gramEnd"/>
      <w:r w:rsidRPr="00AB3A2A">
        <w:rPr>
          <w:rFonts w:ascii="DINCE-Regular" w:eastAsia="SimSun" w:hAnsi="DINCE-Regular" w:cs="Mangal"/>
          <w:color w:val="404040" w:themeColor="text1" w:themeTint="BF"/>
          <w:kern w:val="3"/>
          <w:sz w:val="22"/>
          <w:szCs w:val="22"/>
          <w:lang w:val="en-US" w:eastAsia="en-GB" w:bidi="hi-IN"/>
        </w:rPr>
        <w:t xml:space="preserve"> </w:t>
      </w:r>
    </w:p>
    <w:p w14:paraId="02F6FD30"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Demonstrate skills in independent information retrieval and in academic investigation at postgraduate </w:t>
      </w:r>
      <w:proofErr w:type="gramStart"/>
      <w:r w:rsidRPr="00AB3A2A">
        <w:rPr>
          <w:rFonts w:ascii="DINCE-Regular" w:eastAsia="SimSun" w:hAnsi="DINCE-Regular" w:cs="Mangal"/>
          <w:color w:val="404040" w:themeColor="text1" w:themeTint="BF"/>
          <w:kern w:val="3"/>
          <w:sz w:val="22"/>
          <w:szCs w:val="22"/>
          <w:lang w:val="en-US" w:eastAsia="en-GB" w:bidi="hi-IN"/>
        </w:rPr>
        <w:t>level;</w:t>
      </w:r>
      <w:proofErr w:type="gramEnd"/>
    </w:p>
    <w:p w14:paraId="585BD208" w14:textId="77777777" w:rsidR="00BA77BC" w:rsidRPr="00AB3A2A" w:rsidRDefault="00BA77BC" w:rsidP="00BA77BC">
      <w:pPr>
        <w:widowControl w:val="0"/>
        <w:numPr>
          <w:ilvl w:val="0"/>
          <w:numId w:val="2"/>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Demonstrate a capacity to conduct advanced research and write cohesive academic papers.</w:t>
      </w:r>
    </w:p>
    <w:p w14:paraId="55957491"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Indicative Content</w:t>
      </w:r>
    </w:p>
    <w:p w14:paraId="61A5D297"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Academic writing issues:</w:t>
      </w:r>
    </w:p>
    <w:p w14:paraId="318CC49F"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Introduction into the process of writing. Different stages of writing. Organizing the material.</w:t>
      </w:r>
    </w:p>
    <w:p w14:paraId="005FD278"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Rules of writing the bibliography. Rules of using outside sources and documentation of sources in accordance with Harvard Referencing System.</w:t>
      </w:r>
    </w:p>
    <w:p w14:paraId="7719FCBD"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Punctuation and formatting principles. </w:t>
      </w:r>
    </w:p>
    <w:p w14:paraId="3B01D2E0"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Reporting information. Summary and paraphrase. Direct and indirect methods of importing information from outside sources.</w:t>
      </w:r>
    </w:p>
    <w:p w14:paraId="5003B8F6"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Ways of avoiding plagiarism.</w:t>
      </w:r>
    </w:p>
    <w:p w14:paraId="39DB8A30"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Structure of a paragraph. Different types of paragraphs.</w:t>
      </w:r>
    </w:p>
    <w:p w14:paraId="36511E97"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Summary, paraphrase and synthesis. </w:t>
      </w:r>
    </w:p>
    <w:p w14:paraId="610F67D0"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 xml:space="preserve">Unity and coherence rules. </w:t>
      </w:r>
    </w:p>
    <w:p w14:paraId="270E720D"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Words to be avoided in academic writing. Words of foreign origin used in academic writing. Rules of language formality</w:t>
      </w:r>
    </w:p>
    <w:p w14:paraId="703A2E3E"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Essay structure. Cause/ result essay. Cause/result linking devices</w:t>
      </w:r>
    </w:p>
    <w:p w14:paraId="030CF258"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Advanced grammar issues:</w:t>
      </w:r>
    </w:p>
    <w:p w14:paraId="22B9CA26"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Sentence structure. Different types of clauses</w:t>
      </w:r>
    </w:p>
    <w:p w14:paraId="4C8CE5C7"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English tenses</w:t>
      </w:r>
    </w:p>
    <w:p w14:paraId="5457E932"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lastRenderedPageBreak/>
        <w:t>Passive voice</w:t>
      </w:r>
    </w:p>
    <w:p w14:paraId="4B99FE34"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Modal verbs</w:t>
      </w:r>
    </w:p>
    <w:p w14:paraId="6DB9DEF7"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Reported speech</w:t>
      </w:r>
    </w:p>
    <w:p w14:paraId="0EAB8DEA"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Conditionals</w:t>
      </w:r>
    </w:p>
    <w:p w14:paraId="666FF7F0"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Verb structures</w:t>
      </w:r>
    </w:p>
    <w:p w14:paraId="70879949"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Inversion</w:t>
      </w:r>
    </w:p>
    <w:p w14:paraId="1D108354"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Articles</w:t>
      </w:r>
    </w:p>
    <w:p w14:paraId="1D8AE018" w14:textId="77777777" w:rsidR="00BA77BC" w:rsidRPr="00AB3A2A" w:rsidRDefault="00BA77BC" w:rsidP="00BA77BC">
      <w:pPr>
        <w:widowControl w:val="0"/>
        <w:numPr>
          <w:ilvl w:val="0"/>
          <w:numId w:val="1"/>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Academic vocabulary</w:t>
      </w:r>
    </w:p>
    <w:p w14:paraId="73C3C37F"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Teaching and Learning</w:t>
      </w:r>
    </w:p>
    <w:p w14:paraId="382FC39E"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This module will be taught by means of lectures, workshops, and self-directed study.</w:t>
      </w:r>
    </w:p>
    <w:p w14:paraId="1B704E35"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Formative Assessment: Comments will be given on assessments, and tutorial guidance will be provided for coursework and exam.</w:t>
      </w:r>
    </w:p>
    <w:p w14:paraId="3E74F782" w14:textId="77777777" w:rsidR="00BA77BC" w:rsidRPr="00AB3A2A" w:rsidRDefault="00BA77BC" w:rsidP="00BA77BC">
      <w:pPr>
        <w:shd w:val="clear" w:color="auto" w:fill="FFFFFF"/>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701"/>
      </w:tblGrid>
      <w:tr w:rsidR="00BA77BC" w:rsidRPr="00AB3A2A" w14:paraId="4E921193" w14:textId="77777777" w:rsidTr="00FE71EB">
        <w:trPr>
          <w:trHeight w:val="432"/>
          <w:tblCellSpacing w:w="15" w:type="dxa"/>
        </w:trPr>
        <w:tc>
          <w:tcPr>
            <w:tcW w:w="0" w:type="auto"/>
            <w:tcMar>
              <w:top w:w="15" w:type="dxa"/>
              <w:left w:w="480" w:type="dxa"/>
              <w:bottom w:w="15" w:type="dxa"/>
              <w:right w:w="240" w:type="dxa"/>
            </w:tcMar>
            <w:vAlign w:val="center"/>
          </w:tcPr>
          <w:p w14:paraId="28480F2B"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Guided</w:t>
            </w:r>
          </w:p>
        </w:tc>
        <w:tc>
          <w:tcPr>
            <w:tcW w:w="0" w:type="auto"/>
            <w:vAlign w:val="center"/>
          </w:tcPr>
          <w:p w14:paraId="6F7AAF66"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0 hours</w:t>
            </w:r>
          </w:p>
        </w:tc>
        <w:tc>
          <w:tcPr>
            <w:tcW w:w="656" w:type="dxa"/>
            <w:vAlign w:val="center"/>
          </w:tcPr>
          <w:p w14:paraId="50A7C088"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(0%)</w:t>
            </w:r>
          </w:p>
        </w:tc>
      </w:tr>
      <w:tr w:rsidR="00BA77BC" w:rsidRPr="00AB3A2A" w14:paraId="28337A18" w14:textId="77777777" w:rsidTr="00FE71EB">
        <w:trPr>
          <w:trHeight w:val="432"/>
          <w:tblCellSpacing w:w="15" w:type="dxa"/>
        </w:trPr>
        <w:tc>
          <w:tcPr>
            <w:tcW w:w="0" w:type="auto"/>
            <w:tcMar>
              <w:top w:w="15" w:type="dxa"/>
              <w:left w:w="480" w:type="dxa"/>
              <w:bottom w:w="15" w:type="dxa"/>
              <w:right w:w="240" w:type="dxa"/>
            </w:tcMar>
            <w:vAlign w:val="center"/>
          </w:tcPr>
          <w:p w14:paraId="54B90B05"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Lecture</w:t>
            </w:r>
          </w:p>
        </w:tc>
        <w:tc>
          <w:tcPr>
            <w:tcW w:w="0" w:type="auto"/>
            <w:vAlign w:val="center"/>
          </w:tcPr>
          <w:p w14:paraId="59E897C1"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0 hours</w:t>
            </w:r>
          </w:p>
        </w:tc>
        <w:tc>
          <w:tcPr>
            <w:tcW w:w="656" w:type="dxa"/>
            <w:vAlign w:val="center"/>
          </w:tcPr>
          <w:p w14:paraId="4B12B841"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(0%)</w:t>
            </w:r>
          </w:p>
        </w:tc>
      </w:tr>
      <w:tr w:rsidR="00BA77BC" w:rsidRPr="00AB3A2A" w14:paraId="59E16ECC" w14:textId="77777777" w:rsidTr="00FE71EB">
        <w:trPr>
          <w:trHeight w:val="432"/>
          <w:tblCellSpacing w:w="15" w:type="dxa"/>
        </w:trPr>
        <w:tc>
          <w:tcPr>
            <w:tcW w:w="0" w:type="auto"/>
            <w:tcMar>
              <w:top w:w="15" w:type="dxa"/>
              <w:left w:w="480" w:type="dxa"/>
              <w:bottom w:w="15" w:type="dxa"/>
              <w:right w:w="240" w:type="dxa"/>
            </w:tcMar>
            <w:vAlign w:val="center"/>
          </w:tcPr>
          <w:p w14:paraId="59DFB472"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Self-guided</w:t>
            </w:r>
          </w:p>
        </w:tc>
        <w:tc>
          <w:tcPr>
            <w:tcW w:w="0" w:type="auto"/>
            <w:vAlign w:val="center"/>
          </w:tcPr>
          <w:p w14:paraId="761A6F6C"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10 hours</w:t>
            </w:r>
          </w:p>
        </w:tc>
        <w:tc>
          <w:tcPr>
            <w:tcW w:w="656" w:type="dxa"/>
            <w:vAlign w:val="center"/>
          </w:tcPr>
          <w:p w14:paraId="6F3185A8"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(10%)</w:t>
            </w:r>
          </w:p>
        </w:tc>
      </w:tr>
      <w:tr w:rsidR="00BA77BC" w:rsidRPr="00AB3A2A" w14:paraId="6E9583DF" w14:textId="77777777" w:rsidTr="00FE71EB">
        <w:trPr>
          <w:trHeight w:val="432"/>
          <w:tblCellSpacing w:w="15" w:type="dxa"/>
        </w:trPr>
        <w:tc>
          <w:tcPr>
            <w:tcW w:w="0" w:type="auto"/>
            <w:tcMar>
              <w:top w:w="15" w:type="dxa"/>
              <w:left w:w="480" w:type="dxa"/>
              <w:bottom w:w="15" w:type="dxa"/>
              <w:right w:w="240" w:type="dxa"/>
            </w:tcMar>
            <w:vAlign w:val="center"/>
          </w:tcPr>
          <w:p w14:paraId="38647030"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Seminar</w:t>
            </w:r>
          </w:p>
        </w:tc>
        <w:tc>
          <w:tcPr>
            <w:tcW w:w="0" w:type="auto"/>
            <w:vAlign w:val="center"/>
          </w:tcPr>
          <w:p w14:paraId="0030A062"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30 hours</w:t>
            </w:r>
          </w:p>
        </w:tc>
        <w:tc>
          <w:tcPr>
            <w:tcW w:w="656" w:type="dxa"/>
            <w:vAlign w:val="center"/>
          </w:tcPr>
          <w:p w14:paraId="648572E4"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(30%)</w:t>
            </w:r>
          </w:p>
        </w:tc>
      </w:tr>
      <w:tr w:rsidR="00BA77BC" w:rsidRPr="00AB3A2A" w14:paraId="760DFB6B" w14:textId="77777777" w:rsidTr="00FE71EB">
        <w:trPr>
          <w:trHeight w:val="432"/>
          <w:tblCellSpacing w:w="15" w:type="dxa"/>
        </w:trPr>
        <w:tc>
          <w:tcPr>
            <w:tcW w:w="0" w:type="auto"/>
            <w:tcMar>
              <w:top w:w="15" w:type="dxa"/>
              <w:left w:w="480" w:type="dxa"/>
              <w:bottom w:w="15" w:type="dxa"/>
              <w:right w:w="240" w:type="dxa"/>
            </w:tcMar>
            <w:vAlign w:val="center"/>
          </w:tcPr>
          <w:p w14:paraId="78F0F194"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Workshop</w:t>
            </w:r>
          </w:p>
        </w:tc>
        <w:tc>
          <w:tcPr>
            <w:tcW w:w="0" w:type="auto"/>
            <w:vAlign w:val="center"/>
          </w:tcPr>
          <w:p w14:paraId="4E70A670"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60 hours</w:t>
            </w:r>
          </w:p>
        </w:tc>
        <w:tc>
          <w:tcPr>
            <w:tcW w:w="656" w:type="dxa"/>
            <w:vAlign w:val="center"/>
          </w:tcPr>
          <w:p w14:paraId="52ADF146"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(60%)</w:t>
            </w:r>
          </w:p>
        </w:tc>
      </w:tr>
      <w:tr w:rsidR="00BA77BC" w:rsidRPr="00AB3A2A" w14:paraId="2A0DCCF1" w14:textId="77777777" w:rsidTr="00FE71EB">
        <w:trPr>
          <w:trHeight w:val="432"/>
          <w:tblCellSpacing w:w="15" w:type="dxa"/>
        </w:trPr>
        <w:tc>
          <w:tcPr>
            <w:tcW w:w="0" w:type="auto"/>
            <w:tcMar>
              <w:top w:w="15" w:type="dxa"/>
              <w:left w:w="480" w:type="dxa"/>
              <w:bottom w:w="15" w:type="dxa"/>
              <w:right w:w="240" w:type="dxa"/>
            </w:tcMar>
            <w:vAlign w:val="center"/>
          </w:tcPr>
          <w:p w14:paraId="117334C8"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Total</w:t>
            </w:r>
          </w:p>
        </w:tc>
        <w:tc>
          <w:tcPr>
            <w:tcW w:w="0" w:type="auto"/>
            <w:vAlign w:val="center"/>
          </w:tcPr>
          <w:p w14:paraId="0BBC8858"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100 hours</w:t>
            </w:r>
          </w:p>
        </w:tc>
        <w:tc>
          <w:tcPr>
            <w:tcW w:w="656" w:type="dxa"/>
            <w:vAlign w:val="center"/>
          </w:tcPr>
          <w:p w14:paraId="5AC74779"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 </w:t>
            </w:r>
          </w:p>
        </w:tc>
      </w:tr>
    </w:tbl>
    <w:p w14:paraId="6E7C072D"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Method Of Assessment (normally assessed as follows)</w:t>
      </w:r>
    </w:p>
    <w:p w14:paraId="272C2A15"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color w:val="404040" w:themeColor="text1" w:themeTint="BF"/>
          <w:kern w:val="3"/>
          <w:sz w:val="22"/>
          <w:szCs w:val="22"/>
          <w:lang w:val="en-US" w:eastAsia="en-GB" w:bidi="hi-IN"/>
        </w:rPr>
      </w:pPr>
      <w:r w:rsidRPr="00AB3A2A">
        <w:rPr>
          <w:rFonts w:ascii="DINCE-Regular" w:eastAsia="SimSun" w:hAnsi="DINCE-Regular" w:cs="Mangal"/>
          <w:b/>
          <w:color w:val="404040" w:themeColor="text1" w:themeTint="BF"/>
          <w:kern w:val="3"/>
          <w:sz w:val="22"/>
          <w:szCs w:val="22"/>
          <w:lang w:val="en-US" w:eastAsia="en-GB" w:bidi="hi-IN"/>
        </w:rPr>
        <w:t>The intended learning outcomes will be assessed as follows:</w:t>
      </w:r>
    </w:p>
    <w:p w14:paraId="64572E49" w14:textId="0A1B03D3" w:rsidR="00BA77BC" w:rsidRPr="00AB3A2A" w:rsidRDefault="00BA77BC" w:rsidP="00BA77BC">
      <w:pPr>
        <w:pStyle w:val="ListParagraph"/>
        <w:widowControl w:val="0"/>
        <w:numPr>
          <w:ilvl w:val="0"/>
          <w:numId w:val="3"/>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lang w:val="en-US" w:eastAsia="en-GB" w:bidi="hi-IN"/>
        </w:rPr>
      </w:pPr>
      <w:r w:rsidRPr="00AB3A2A">
        <w:rPr>
          <w:rFonts w:ascii="DINCE-Regular" w:eastAsia="SimSun" w:hAnsi="DINCE-Regular" w:cs="Mangal"/>
          <w:color w:val="404040" w:themeColor="text1" w:themeTint="BF"/>
          <w:kern w:val="3"/>
          <w:lang w:val="en-US" w:eastAsia="en-GB" w:bidi="hi-IN"/>
        </w:rPr>
        <w:t xml:space="preserve">Two in-class exams (60% - </w:t>
      </w:r>
      <w:r>
        <w:rPr>
          <w:rFonts w:ascii="DINCE-Regular" w:eastAsia="SimSun" w:hAnsi="DINCE-Regular" w:cs="Mangal"/>
          <w:color w:val="404040" w:themeColor="text1" w:themeTint="BF"/>
          <w:kern w:val="3"/>
          <w:lang w:val="en-US" w:eastAsia="en-GB" w:bidi="hi-IN"/>
        </w:rPr>
        <w:t>6</w:t>
      </w:r>
      <w:r w:rsidRPr="00AB3A2A">
        <w:rPr>
          <w:rFonts w:ascii="DINCE-Regular" w:eastAsia="SimSun" w:hAnsi="DINCE-Regular" w:cs="Mangal"/>
          <w:color w:val="404040" w:themeColor="text1" w:themeTint="BF"/>
          <w:kern w:val="3"/>
          <w:lang w:val="en-US" w:eastAsia="en-GB" w:bidi="hi-IN"/>
        </w:rPr>
        <w:t xml:space="preserve"> Credits): 120 minutes each; contribute to learning outcomes 1, 2, 3, 4, 5, 6, 7, 8</w:t>
      </w:r>
    </w:p>
    <w:p w14:paraId="7F978B5F" w14:textId="77777777" w:rsidR="00BA77BC" w:rsidRPr="00AB3A2A" w:rsidRDefault="00BA77BC" w:rsidP="00BA77BC">
      <w:pPr>
        <w:pStyle w:val="ListParagraph"/>
        <w:widowControl w:val="0"/>
        <w:numPr>
          <w:ilvl w:val="0"/>
          <w:numId w:val="3"/>
        </w:numPr>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lang w:val="en-US" w:eastAsia="en-GB" w:bidi="hi-IN"/>
        </w:rPr>
      </w:pPr>
      <w:r w:rsidRPr="00AB3A2A">
        <w:rPr>
          <w:rFonts w:ascii="DINCE-Regular" w:eastAsia="SimSun" w:hAnsi="DINCE-Regular" w:cs="Mangal"/>
          <w:color w:val="404040" w:themeColor="text1" w:themeTint="BF"/>
          <w:kern w:val="3"/>
          <w:lang w:val="en-US" w:eastAsia="en-GB" w:bidi="hi-IN"/>
        </w:rPr>
        <w:t>Final exam (40% - 2 Credits): 120 minutes; contributes to learning outcomes 1, 2, 3, 4, 5, 6, 7, 8</w:t>
      </w:r>
    </w:p>
    <w:p w14:paraId="73CAA814"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Date of last amendment</w:t>
      </w:r>
    </w:p>
    <w:p w14:paraId="409F0F1C"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6-09-2016</w:t>
      </w:r>
    </w:p>
    <w:p w14:paraId="31138B27"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55CE12CF"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3. MODULE RESOURCES</w:t>
      </w:r>
    </w:p>
    <w:p w14:paraId="5DB47F84" w14:textId="77777777" w:rsidR="00BA77BC" w:rsidRPr="00AB3A2A" w:rsidRDefault="00BA77BC" w:rsidP="00BA77BC">
      <w:pPr>
        <w:widowControl w:val="0"/>
        <w:shd w:val="clear" w:color="auto" w:fill="FFFFFF"/>
        <w:suppressAutoHyphens/>
        <w:autoSpaceDN w:val="0"/>
        <w:spacing w:line="276" w:lineRule="auto"/>
        <w:ind w:left="720" w:hanging="720"/>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Essential Reading</w:t>
      </w:r>
    </w:p>
    <w:p w14:paraId="708CCF81"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Hogue, A., Oshima, A., 2006. </w:t>
      </w:r>
      <w:r w:rsidRPr="00AB3A2A">
        <w:rPr>
          <w:rFonts w:ascii="DINCE-Regular" w:hAnsi="DINCE-Regular" w:cs="Arial Narrow"/>
          <w:bCs/>
          <w:i/>
          <w:iCs/>
          <w:color w:val="404040" w:themeColor="text1" w:themeTint="BF"/>
        </w:rPr>
        <w:t>Writing Academic English</w:t>
      </w:r>
      <w:r w:rsidRPr="00AB3A2A">
        <w:rPr>
          <w:rFonts w:ascii="DINCE-Regular" w:hAnsi="DINCE-Regular" w:cs="Arial Narrow"/>
          <w:bCs/>
          <w:color w:val="404040" w:themeColor="text1" w:themeTint="BF"/>
        </w:rPr>
        <w:t>. 4</w:t>
      </w:r>
      <w:r w:rsidRPr="00AB3A2A">
        <w:rPr>
          <w:rFonts w:ascii="DINCE-Regular" w:hAnsi="DINCE-Regular" w:cs="Arial Narrow"/>
          <w:bCs/>
          <w:color w:val="404040" w:themeColor="text1" w:themeTint="BF"/>
          <w:vertAlign w:val="superscript"/>
        </w:rPr>
        <w:t>th</w:t>
      </w:r>
      <w:r w:rsidRPr="00AB3A2A">
        <w:rPr>
          <w:rFonts w:ascii="DINCE-Regular" w:hAnsi="DINCE-Regular" w:cs="Arial Narrow"/>
          <w:bCs/>
          <w:color w:val="404040" w:themeColor="text1" w:themeTint="BF"/>
        </w:rPr>
        <w:t xml:space="preserve"> ed. New York: Pearson Longman.</w:t>
      </w:r>
    </w:p>
    <w:p w14:paraId="65017EEC"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Jordan, R.R., 2002.  </w:t>
      </w:r>
      <w:r w:rsidRPr="00AB3A2A">
        <w:rPr>
          <w:rFonts w:ascii="DINCE-Regular" w:hAnsi="DINCE-Regular" w:cs="Arial Narrow"/>
          <w:bCs/>
          <w:i/>
          <w:iCs/>
          <w:color w:val="404040" w:themeColor="text1" w:themeTint="BF"/>
        </w:rPr>
        <w:t>Academic Writing Course</w:t>
      </w:r>
      <w:r w:rsidRPr="00AB3A2A">
        <w:rPr>
          <w:rFonts w:ascii="DINCE-Regular" w:hAnsi="DINCE-Regular" w:cs="Arial Narrow"/>
          <w:bCs/>
          <w:color w:val="404040" w:themeColor="text1" w:themeTint="BF"/>
        </w:rPr>
        <w:t>. New York: Pearson Longman.</w:t>
      </w:r>
    </w:p>
    <w:p w14:paraId="056F15B4" w14:textId="77777777" w:rsidR="00BA77BC" w:rsidRPr="00AB3A2A" w:rsidRDefault="00BA77BC" w:rsidP="00BA77BC">
      <w:pPr>
        <w:pStyle w:val="Akapitzlist2"/>
        <w:spacing w:after="0"/>
        <w:ind w:hanging="720"/>
        <w:jc w:val="both"/>
        <w:rPr>
          <w:rFonts w:ascii="DINCE-Regular" w:hAnsi="DINCE-Regular" w:cs="Mangal"/>
          <w:color w:val="404040" w:themeColor="text1" w:themeTint="BF"/>
          <w:kern w:val="3"/>
          <w:lang w:eastAsia="en-GB"/>
        </w:rPr>
      </w:pPr>
      <w:r w:rsidRPr="00AB3A2A">
        <w:rPr>
          <w:rFonts w:ascii="DINCE-Regular" w:hAnsi="DINCE-Regular" w:cs="Arial Narrow"/>
          <w:bCs/>
          <w:color w:val="404040" w:themeColor="text1" w:themeTint="BF"/>
        </w:rPr>
        <w:t xml:space="preserve">Vince, M., 2003. </w:t>
      </w:r>
      <w:r w:rsidRPr="00AB3A2A">
        <w:rPr>
          <w:rFonts w:ascii="DINCE-Regular" w:hAnsi="DINCE-Regular" w:cs="Arial Narrow"/>
          <w:bCs/>
          <w:i/>
          <w:iCs/>
          <w:color w:val="404040" w:themeColor="text1" w:themeTint="BF"/>
        </w:rPr>
        <w:t>Advanced Language Practice: English Grammar and Vocabulary</w:t>
      </w:r>
      <w:r w:rsidRPr="00AB3A2A">
        <w:rPr>
          <w:rFonts w:ascii="DINCE-Regular" w:hAnsi="DINCE-Regular" w:cs="Arial Narrow"/>
          <w:bCs/>
          <w:color w:val="404040" w:themeColor="text1" w:themeTint="BF"/>
        </w:rPr>
        <w:t>. Oxford: Macmillan</w:t>
      </w:r>
      <w:r w:rsidRPr="00AB3A2A">
        <w:rPr>
          <w:rFonts w:ascii="DINCE-Regular" w:hAnsi="DINCE-Regular" w:cs="Mangal"/>
          <w:color w:val="404040" w:themeColor="text1" w:themeTint="BF"/>
          <w:kern w:val="3"/>
          <w:lang w:eastAsia="en-GB"/>
        </w:rPr>
        <w:t xml:space="preserve"> Education.</w:t>
      </w:r>
    </w:p>
    <w:p w14:paraId="11A0586F" w14:textId="77777777" w:rsidR="00BA77BC" w:rsidRPr="00AB3A2A" w:rsidRDefault="00BA77BC" w:rsidP="00BA77BC">
      <w:pPr>
        <w:widowControl w:val="0"/>
        <w:shd w:val="clear" w:color="auto" w:fill="FFFFFF"/>
        <w:suppressAutoHyphens/>
        <w:autoSpaceDN w:val="0"/>
        <w:spacing w:line="276" w:lineRule="auto"/>
        <w:ind w:left="720" w:hanging="720"/>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Recommended Reading</w:t>
      </w:r>
    </w:p>
    <w:p w14:paraId="4F6D5D16"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Bailey, S., 2006. </w:t>
      </w:r>
      <w:r w:rsidRPr="00AB3A2A">
        <w:rPr>
          <w:rFonts w:ascii="DINCE-Regular" w:hAnsi="DINCE-Regular" w:cs="Arial Narrow"/>
          <w:bCs/>
          <w:i/>
          <w:iCs/>
          <w:color w:val="404040" w:themeColor="text1" w:themeTint="BF"/>
        </w:rPr>
        <w:t>Academic Writing A Handbook for International Students.</w:t>
      </w:r>
      <w:r w:rsidRPr="00AB3A2A">
        <w:rPr>
          <w:rFonts w:ascii="DINCE-Regular" w:hAnsi="DINCE-Regular" w:cs="Arial Narrow"/>
          <w:bCs/>
          <w:color w:val="404040" w:themeColor="text1" w:themeTint="BF"/>
        </w:rPr>
        <w:t xml:space="preserve"> 2</w:t>
      </w:r>
      <w:r w:rsidRPr="00AB3A2A">
        <w:rPr>
          <w:rFonts w:ascii="DINCE-Regular" w:hAnsi="DINCE-Regular" w:cs="Arial Narrow"/>
          <w:bCs/>
          <w:color w:val="404040" w:themeColor="text1" w:themeTint="BF"/>
          <w:vertAlign w:val="superscript"/>
        </w:rPr>
        <w:t>nd</w:t>
      </w:r>
      <w:r w:rsidRPr="00AB3A2A">
        <w:rPr>
          <w:rFonts w:ascii="DINCE-Regular" w:hAnsi="DINCE-Regular" w:cs="Arial Narrow"/>
          <w:bCs/>
          <w:color w:val="404040" w:themeColor="text1" w:themeTint="BF"/>
        </w:rPr>
        <w:t xml:space="preserve"> ed. London and New York: Routledge</w:t>
      </w:r>
    </w:p>
    <w:p w14:paraId="3198E8C3"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i/>
          <w:iCs/>
          <w:color w:val="404040" w:themeColor="text1" w:themeTint="BF"/>
        </w:rPr>
        <w:t>501 GRAMMAR AND WRITING QUESTIONS</w:t>
      </w:r>
      <w:r w:rsidRPr="00AB3A2A">
        <w:rPr>
          <w:rFonts w:ascii="DINCE-Regular" w:hAnsi="DINCE-Regular" w:cs="Arial Narrow"/>
          <w:bCs/>
          <w:color w:val="404040" w:themeColor="text1" w:themeTint="BF"/>
        </w:rPr>
        <w:t>, 2006. New York: Learning Express.</w:t>
      </w:r>
    </w:p>
    <w:p w14:paraId="52265D86"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Heffernan J.,1982. </w:t>
      </w:r>
      <w:r w:rsidRPr="00AB3A2A">
        <w:rPr>
          <w:rFonts w:ascii="DINCE-Regular" w:hAnsi="DINCE-Regular" w:cs="Arial Narrow"/>
          <w:bCs/>
          <w:i/>
          <w:iCs/>
          <w:color w:val="404040" w:themeColor="text1" w:themeTint="BF"/>
        </w:rPr>
        <w:t xml:space="preserve">Writing- A College Handbook. </w:t>
      </w:r>
      <w:r w:rsidRPr="00AB3A2A">
        <w:rPr>
          <w:rFonts w:ascii="DINCE-Regular" w:hAnsi="DINCE-Regular" w:cs="Arial Narrow"/>
          <w:bCs/>
          <w:color w:val="404040" w:themeColor="text1" w:themeTint="BF"/>
        </w:rPr>
        <w:t>New York: WW Norton and Company.</w:t>
      </w:r>
    </w:p>
    <w:p w14:paraId="24DED1F8"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proofErr w:type="spellStart"/>
      <w:r w:rsidRPr="00AB3A2A">
        <w:rPr>
          <w:rFonts w:ascii="DINCE-Regular" w:hAnsi="DINCE-Regular" w:cs="Arial Narrow"/>
          <w:bCs/>
          <w:color w:val="404040" w:themeColor="text1" w:themeTint="BF"/>
        </w:rPr>
        <w:lastRenderedPageBreak/>
        <w:t>Hewings</w:t>
      </w:r>
      <w:proofErr w:type="spellEnd"/>
      <w:r w:rsidRPr="00AB3A2A">
        <w:rPr>
          <w:rFonts w:ascii="DINCE-Regular" w:hAnsi="DINCE-Regular" w:cs="Arial Narrow"/>
          <w:bCs/>
          <w:color w:val="404040" w:themeColor="text1" w:themeTint="BF"/>
        </w:rPr>
        <w:t xml:space="preserve">, M., 2005. </w:t>
      </w:r>
      <w:r w:rsidRPr="00AB3A2A">
        <w:rPr>
          <w:rFonts w:ascii="DINCE-Regular" w:hAnsi="DINCE-Regular" w:cs="Arial Narrow"/>
          <w:bCs/>
          <w:i/>
          <w:iCs/>
          <w:color w:val="404040" w:themeColor="text1" w:themeTint="BF"/>
        </w:rPr>
        <w:t>Advanced Grammar in Use</w:t>
      </w:r>
      <w:r w:rsidRPr="00AB3A2A">
        <w:rPr>
          <w:rFonts w:ascii="DINCE-Regular" w:hAnsi="DINCE-Regular" w:cs="Arial Narrow"/>
          <w:bCs/>
          <w:color w:val="404040" w:themeColor="text1" w:themeTint="BF"/>
        </w:rPr>
        <w:t>. Cambridge: CUP.</w:t>
      </w:r>
    </w:p>
    <w:p w14:paraId="1329ED57"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proofErr w:type="spellStart"/>
      <w:r w:rsidRPr="00AB3A2A">
        <w:rPr>
          <w:rFonts w:ascii="DINCE-Regular" w:hAnsi="DINCE-Regular" w:cs="Arial Narrow"/>
          <w:bCs/>
          <w:color w:val="404040" w:themeColor="text1" w:themeTint="BF"/>
        </w:rPr>
        <w:t>Leki</w:t>
      </w:r>
      <w:proofErr w:type="spellEnd"/>
      <w:r w:rsidRPr="00AB3A2A">
        <w:rPr>
          <w:rFonts w:ascii="DINCE-Regular" w:hAnsi="DINCE-Regular" w:cs="Arial Narrow"/>
          <w:bCs/>
          <w:color w:val="404040" w:themeColor="text1" w:themeTint="BF"/>
        </w:rPr>
        <w:t xml:space="preserve">, I. </w:t>
      </w:r>
      <w:r w:rsidRPr="00AB3A2A">
        <w:rPr>
          <w:rFonts w:ascii="DINCE-Regular" w:hAnsi="DINCE-Regular" w:cs="Arial Narrow"/>
          <w:bCs/>
          <w:i/>
          <w:iCs/>
          <w:color w:val="404040" w:themeColor="text1" w:themeTint="BF"/>
        </w:rPr>
        <w:t>ACADEMIC WRITING: Exploring Processes and Strategies</w:t>
      </w:r>
      <w:r w:rsidRPr="00AB3A2A">
        <w:rPr>
          <w:rFonts w:ascii="DINCE-Regular" w:hAnsi="DINCE-Regular" w:cs="Arial Narrow"/>
          <w:bCs/>
          <w:color w:val="404040" w:themeColor="text1" w:themeTint="BF"/>
        </w:rPr>
        <w:t>. Cambridge: CUP.</w:t>
      </w:r>
    </w:p>
    <w:p w14:paraId="4A82D8B4"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Mc Carthy, M., O’Dell, F., 2008. </w:t>
      </w:r>
      <w:r w:rsidRPr="00AB3A2A">
        <w:rPr>
          <w:rFonts w:ascii="DINCE-Regular" w:hAnsi="DINCE-Regular" w:cs="Arial Narrow"/>
          <w:bCs/>
          <w:i/>
          <w:iCs/>
          <w:color w:val="404040" w:themeColor="text1" w:themeTint="BF"/>
        </w:rPr>
        <w:t>Academic Vocabulary in Use</w:t>
      </w:r>
      <w:r w:rsidRPr="00AB3A2A">
        <w:rPr>
          <w:rFonts w:ascii="DINCE-Regular" w:hAnsi="DINCE-Regular" w:cs="Arial Narrow"/>
          <w:bCs/>
          <w:color w:val="404040" w:themeColor="text1" w:themeTint="BF"/>
        </w:rPr>
        <w:t>. Cambridge: Cambridge University Press.</w:t>
      </w:r>
    </w:p>
    <w:p w14:paraId="18C050C7"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lang w:val="pl-PL"/>
        </w:rPr>
      </w:pPr>
      <w:r w:rsidRPr="00AB3A2A">
        <w:rPr>
          <w:rFonts w:ascii="DINCE-Regular" w:hAnsi="DINCE-Regular" w:cs="Arial Narrow"/>
          <w:bCs/>
          <w:color w:val="404040" w:themeColor="text1" w:themeTint="BF"/>
        </w:rPr>
        <w:t xml:space="preserve">Macpherson, R., 2006. </w:t>
      </w:r>
      <w:r w:rsidRPr="00AB3A2A">
        <w:rPr>
          <w:rFonts w:ascii="DINCE-Regular" w:hAnsi="DINCE-Regular" w:cs="Arial Narrow"/>
          <w:bCs/>
          <w:i/>
          <w:iCs/>
          <w:color w:val="404040" w:themeColor="text1" w:themeTint="BF"/>
        </w:rPr>
        <w:t>English for Academic Purposes.</w:t>
      </w:r>
      <w:r w:rsidRPr="00AB3A2A">
        <w:rPr>
          <w:rFonts w:ascii="DINCE-Regular" w:hAnsi="DINCE-Regular" w:cs="Arial Narrow"/>
          <w:bCs/>
          <w:color w:val="404040" w:themeColor="text1" w:themeTint="BF"/>
        </w:rPr>
        <w:t xml:space="preserve"> </w:t>
      </w:r>
      <w:proofErr w:type="spellStart"/>
      <w:r w:rsidRPr="00AB3A2A">
        <w:rPr>
          <w:rFonts w:ascii="DINCE-Regular" w:hAnsi="DINCE-Regular" w:cs="Arial Narrow"/>
          <w:bCs/>
          <w:color w:val="404040" w:themeColor="text1" w:themeTint="BF"/>
          <w:lang w:val="pl-PL"/>
        </w:rPr>
        <w:t>Warsaw</w:t>
      </w:r>
      <w:proofErr w:type="spellEnd"/>
      <w:r w:rsidRPr="00AB3A2A">
        <w:rPr>
          <w:rFonts w:ascii="DINCE-Regular" w:hAnsi="DINCE-Regular" w:cs="Arial Narrow"/>
          <w:bCs/>
          <w:color w:val="404040" w:themeColor="text1" w:themeTint="BF"/>
          <w:lang w:val="pl-PL"/>
        </w:rPr>
        <w:t>: Wydawnictwo Naukowe PWN.</w:t>
      </w:r>
    </w:p>
    <w:p w14:paraId="24E79E8A"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lang w:val="en-GB"/>
        </w:rPr>
      </w:pPr>
      <w:r w:rsidRPr="00AB3A2A">
        <w:rPr>
          <w:rFonts w:ascii="DINCE-Regular" w:hAnsi="DINCE-Regular" w:cs="Arial Narrow"/>
          <w:bCs/>
          <w:color w:val="404040" w:themeColor="text1" w:themeTint="BF"/>
          <w:lang w:val="pl-PL"/>
        </w:rPr>
        <w:t xml:space="preserve">Macpherson, R, 2006. </w:t>
      </w:r>
      <w:r w:rsidRPr="00AB3A2A">
        <w:rPr>
          <w:rFonts w:ascii="DINCE-Regular" w:hAnsi="DINCE-Regular" w:cs="Arial Narrow"/>
          <w:bCs/>
          <w:i/>
          <w:iCs/>
          <w:color w:val="404040" w:themeColor="text1" w:themeTint="BF"/>
        </w:rPr>
        <w:t>Advanced Written English</w:t>
      </w:r>
      <w:r w:rsidRPr="00AB3A2A">
        <w:rPr>
          <w:rFonts w:ascii="DINCE-Regular" w:hAnsi="DINCE-Regular" w:cs="Arial Narrow"/>
          <w:bCs/>
          <w:color w:val="404040" w:themeColor="text1" w:themeTint="BF"/>
        </w:rPr>
        <w:t xml:space="preserve">. </w:t>
      </w:r>
      <w:r w:rsidRPr="00AB3A2A">
        <w:rPr>
          <w:rFonts w:ascii="DINCE-Regular" w:hAnsi="DINCE-Regular" w:cs="Arial Narrow"/>
          <w:bCs/>
          <w:color w:val="404040" w:themeColor="text1" w:themeTint="BF"/>
          <w:lang w:val="en-GB"/>
        </w:rPr>
        <w:t xml:space="preserve">Warsaw: </w:t>
      </w:r>
      <w:proofErr w:type="spellStart"/>
      <w:r w:rsidRPr="00AB3A2A">
        <w:rPr>
          <w:rFonts w:ascii="DINCE-Regular" w:hAnsi="DINCE-Regular" w:cs="Arial Narrow"/>
          <w:bCs/>
          <w:color w:val="404040" w:themeColor="text1" w:themeTint="BF"/>
          <w:lang w:val="en-GB"/>
        </w:rPr>
        <w:t>Wydawnictwo</w:t>
      </w:r>
      <w:proofErr w:type="spellEnd"/>
      <w:r w:rsidRPr="00AB3A2A">
        <w:rPr>
          <w:rFonts w:ascii="DINCE-Regular" w:hAnsi="DINCE-Regular" w:cs="Arial Narrow"/>
          <w:bCs/>
          <w:color w:val="404040" w:themeColor="text1" w:themeTint="BF"/>
          <w:lang w:val="en-GB"/>
        </w:rPr>
        <w:t xml:space="preserve"> </w:t>
      </w:r>
      <w:proofErr w:type="spellStart"/>
      <w:r w:rsidRPr="00AB3A2A">
        <w:rPr>
          <w:rFonts w:ascii="DINCE-Regular" w:hAnsi="DINCE-Regular" w:cs="Arial Narrow"/>
          <w:bCs/>
          <w:color w:val="404040" w:themeColor="text1" w:themeTint="BF"/>
          <w:lang w:val="en-GB"/>
        </w:rPr>
        <w:t>Naukowe</w:t>
      </w:r>
      <w:proofErr w:type="spellEnd"/>
      <w:r w:rsidRPr="00AB3A2A">
        <w:rPr>
          <w:rFonts w:ascii="DINCE-Regular" w:hAnsi="DINCE-Regular" w:cs="Arial Narrow"/>
          <w:bCs/>
          <w:color w:val="404040" w:themeColor="text1" w:themeTint="BF"/>
          <w:lang w:val="en-GB"/>
        </w:rPr>
        <w:t xml:space="preserve"> PWN.</w:t>
      </w:r>
    </w:p>
    <w:p w14:paraId="64B9C91B"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lang w:val="en-GB"/>
        </w:rPr>
        <w:t xml:space="preserve">Murphy, R., 2004. </w:t>
      </w:r>
      <w:r w:rsidRPr="00AB3A2A">
        <w:rPr>
          <w:rFonts w:ascii="DINCE-Regular" w:hAnsi="DINCE-Regular" w:cs="Arial Narrow"/>
          <w:bCs/>
          <w:i/>
          <w:iCs/>
          <w:color w:val="404040" w:themeColor="text1" w:themeTint="BF"/>
        </w:rPr>
        <w:t>English Grammar in Use; upper-intermediate and advanced</w:t>
      </w:r>
      <w:r w:rsidRPr="00AB3A2A">
        <w:rPr>
          <w:rFonts w:ascii="DINCE-Regular" w:hAnsi="DINCE-Regular" w:cs="Arial Narrow"/>
          <w:bCs/>
          <w:color w:val="404040" w:themeColor="text1" w:themeTint="BF"/>
        </w:rPr>
        <w:t>. 3 ed. Cambridge: CUP.</w:t>
      </w:r>
    </w:p>
    <w:p w14:paraId="4664FAC2"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Swales, J.M. Feak, C.B., 1994. </w:t>
      </w:r>
      <w:r w:rsidRPr="00AB3A2A">
        <w:rPr>
          <w:rFonts w:ascii="DINCE-Regular" w:hAnsi="DINCE-Regular" w:cs="Arial Narrow"/>
          <w:bCs/>
          <w:i/>
          <w:iCs/>
          <w:color w:val="404040" w:themeColor="text1" w:themeTint="BF"/>
        </w:rPr>
        <w:t>Academic Writing Course for Graduate Students</w:t>
      </w:r>
      <w:r w:rsidRPr="00AB3A2A">
        <w:rPr>
          <w:rFonts w:ascii="DINCE-Regular" w:hAnsi="DINCE-Regular" w:cs="Arial Narrow"/>
          <w:bCs/>
          <w:color w:val="404040" w:themeColor="text1" w:themeTint="BF"/>
        </w:rPr>
        <w:t>. Michigan: The University of Michigan Press.</w:t>
      </w:r>
    </w:p>
    <w:p w14:paraId="2AF4B82C" w14:textId="77777777" w:rsidR="00BA77BC" w:rsidRPr="00AB3A2A" w:rsidRDefault="00BA77BC" w:rsidP="00BA77BC">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Zemach, D., 2005. </w:t>
      </w:r>
      <w:r w:rsidRPr="00AB3A2A">
        <w:rPr>
          <w:rFonts w:ascii="DINCE-Regular" w:hAnsi="DINCE-Regular" w:cs="Arial Narrow"/>
          <w:bCs/>
          <w:i/>
          <w:iCs/>
          <w:color w:val="404040" w:themeColor="text1" w:themeTint="BF"/>
        </w:rPr>
        <w:t>Academic Writing</w:t>
      </w:r>
      <w:r w:rsidRPr="00AB3A2A">
        <w:rPr>
          <w:rFonts w:ascii="DINCE-Regular" w:hAnsi="DINCE-Regular" w:cs="Arial Narrow"/>
          <w:bCs/>
          <w:color w:val="404040" w:themeColor="text1" w:themeTint="BF"/>
        </w:rPr>
        <w:t>. Oxford: Macmillan.</w:t>
      </w:r>
    </w:p>
    <w:p w14:paraId="094A45B5"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Required Equipment</w:t>
      </w:r>
    </w:p>
    <w:p w14:paraId="0160DC71"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None</w:t>
      </w:r>
    </w:p>
    <w:p w14:paraId="7BF58A8D"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15D14993" w14:textId="77777777" w:rsidR="00BA77BC" w:rsidRPr="00AB3A2A" w:rsidRDefault="00BA77BC" w:rsidP="00BA77BC">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4. MODULE ORGANISATION</w:t>
      </w:r>
    </w:p>
    <w:p w14:paraId="19003F22" w14:textId="77777777" w:rsidR="00BA77BC" w:rsidRPr="00AB3A2A" w:rsidRDefault="00BA77BC" w:rsidP="00BA77BC">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064"/>
      </w:tblGrid>
      <w:tr w:rsidR="00BA77BC" w:rsidRPr="00AB3A2A" w14:paraId="168E20F8" w14:textId="77777777" w:rsidTr="00FE71EB">
        <w:trPr>
          <w:trHeight w:val="432"/>
          <w:tblCellSpacing w:w="15" w:type="dxa"/>
        </w:trPr>
        <w:tc>
          <w:tcPr>
            <w:tcW w:w="0" w:type="auto"/>
            <w:tcMar>
              <w:top w:w="15" w:type="dxa"/>
              <w:left w:w="480" w:type="dxa"/>
              <w:bottom w:w="15" w:type="dxa"/>
              <w:right w:w="240" w:type="dxa"/>
            </w:tcMar>
            <w:vAlign w:val="center"/>
          </w:tcPr>
          <w:p w14:paraId="3982ADB4"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Name</w:t>
            </w:r>
          </w:p>
        </w:tc>
        <w:tc>
          <w:tcPr>
            <w:tcW w:w="0" w:type="auto"/>
            <w:vAlign w:val="center"/>
          </w:tcPr>
          <w:p w14:paraId="654EAEA0"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eastAsia="SimSun" w:hAnsi="DINCE-Regular" w:cs="Mangal"/>
                <w:color w:val="404040" w:themeColor="text1" w:themeTint="BF"/>
                <w:kern w:val="3"/>
                <w:sz w:val="22"/>
                <w:szCs w:val="22"/>
                <w:lang w:val="en-US" w:eastAsia="en-GB" w:bidi="hi-IN"/>
              </w:rPr>
              <w:t>Mgr</w:t>
            </w:r>
            <w:proofErr w:type="spellEnd"/>
            <w:r w:rsidRPr="00AB3A2A">
              <w:rPr>
                <w:rFonts w:ascii="DINCE-Regular" w:eastAsia="SimSun" w:hAnsi="DINCE-Regular" w:cs="Mangal"/>
                <w:color w:val="404040" w:themeColor="text1" w:themeTint="BF"/>
                <w:kern w:val="3"/>
                <w:sz w:val="22"/>
                <w:szCs w:val="22"/>
                <w:lang w:val="en-US" w:eastAsia="en-GB" w:bidi="hi-IN"/>
              </w:rPr>
              <w:t xml:space="preserve"> Joanna Zientek,  </w:t>
            </w:r>
          </w:p>
        </w:tc>
      </w:tr>
      <w:tr w:rsidR="00BA77BC" w:rsidRPr="00AB3A2A" w14:paraId="7DD593AC" w14:textId="77777777" w:rsidTr="00FE71EB">
        <w:trPr>
          <w:trHeight w:val="432"/>
          <w:tblCellSpacing w:w="15" w:type="dxa"/>
        </w:trPr>
        <w:tc>
          <w:tcPr>
            <w:tcW w:w="0" w:type="auto"/>
            <w:tcMar>
              <w:top w:w="15" w:type="dxa"/>
              <w:left w:w="480" w:type="dxa"/>
              <w:bottom w:w="15" w:type="dxa"/>
              <w:right w:w="240" w:type="dxa"/>
            </w:tcMar>
            <w:vAlign w:val="center"/>
          </w:tcPr>
          <w:p w14:paraId="659392B3" w14:textId="77777777" w:rsidR="00BA77BC" w:rsidRPr="00AB3A2A" w:rsidRDefault="00BA77BC"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E-mail</w:t>
            </w:r>
          </w:p>
        </w:tc>
        <w:tc>
          <w:tcPr>
            <w:tcW w:w="0" w:type="auto"/>
            <w:vAlign w:val="center"/>
          </w:tcPr>
          <w:p w14:paraId="696FB73D" w14:textId="77777777" w:rsidR="00BA77BC" w:rsidRPr="00AB3A2A" w:rsidRDefault="00BA77BC" w:rsidP="00FE71EB">
            <w:pPr>
              <w:spacing w:line="276" w:lineRule="auto"/>
              <w:jc w:val="both"/>
              <w:rPr>
                <w:rFonts w:ascii="DINCE-Regular" w:hAnsi="DINCE-Regular"/>
                <w:color w:val="404040" w:themeColor="text1" w:themeTint="BF"/>
                <w:sz w:val="22"/>
                <w:szCs w:val="22"/>
                <w:lang w:val="en-GB" w:eastAsia="en-GB"/>
              </w:rPr>
            </w:pPr>
            <w:hyperlink r:id="rId5" w:history="1">
              <w:r w:rsidRPr="00AB3A2A">
                <w:rPr>
                  <w:rFonts w:ascii="DINCE-Regular" w:eastAsia="SimSun" w:hAnsi="DINCE-Regular" w:cs="Mangal"/>
                  <w:color w:val="404040" w:themeColor="text1" w:themeTint="BF"/>
                  <w:kern w:val="3"/>
                  <w:sz w:val="22"/>
                  <w:szCs w:val="22"/>
                  <w:u w:val="single"/>
                  <w:lang w:val="en-US" w:eastAsia="en-GB" w:bidi="hi-IN"/>
                </w:rPr>
                <w:t>zientek4@op.pl</w:t>
              </w:r>
            </w:hyperlink>
            <w:r w:rsidRPr="00AB3A2A">
              <w:rPr>
                <w:rFonts w:ascii="DINCE-Regular" w:eastAsia="SimSun" w:hAnsi="DINCE-Regular" w:cs="Mangal"/>
                <w:color w:val="404040" w:themeColor="text1" w:themeTint="BF"/>
                <w:kern w:val="3"/>
                <w:sz w:val="22"/>
                <w:szCs w:val="22"/>
                <w:u w:val="single"/>
                <w:lang w:val="en-US" w:eastAsia="en-GB" w:bidi="hi-IN"/>
              </w:rPr>
              <w:t xml:space="preserve">  </w:t>
            </w:r>
          </w:p>
        </w:tc>
      </w:tr>
    </w:tbl>
    <w:p w14:paraId="058F18A3"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b/>
          <w:bCs/>
          <w:color w:val="404040" w:themeColor="text1" w:themeTint="BF"/>
          <w:kern w:val="3"/>
          <w:sz w:val="22"/>
          <w:szCs w:val="22"/>
          <w:lang w:val="en-US" w:eastAsia="en-GB" w:bidi="hi-IN"/>
        </w:rPr>
      </w:pPr>
      <w:r w:rsidRPr="00AB3A2A">
        <w:rPr>
          <w:rFonts w:ascii="DINCE-Regular" w:eastAsia="SimSun" w:hAnsi="DINCE-Regular" w:cs="Mangal"/>
          <w:b/>
          <w:bCs/>
          <w:color w:val="404040" w:themeColor="text1" w:themeTint="BF"/>
          <w:kern w:val="3"/>
          <w:sz w:val="22"/>
          <w:szCs w:val="22"/>
          <w:lang w:val="en-US" w:eastAsia="en-GB" w:bidi="hi-IN"/>
        </w:rPr>
        <w:t>Length and month of examination</w:t>
      </w:r>
    </w:p>
    <w:p w14:paraId="5DB0CEF3" w14:textId="77777777" w:rsidR="00BA77BC" w:rsidRPr="00AB3A2A" w:rsidRDefault="00BA77BC" w:rsidP="00BA77BC">
      <w:pPr>
        <w:widowControl w:val="0"/>
        <w:shd w:val="clear" w:color="auto" w:fill="FFFFFF"/>
        <w:suppressAutoHyphens/>
        <w:autoSpaceDN w:val="0"/>
        <w:spacing w:line="276" w:lineRule="auto"/>
        <w:jc w:val="both"/>
        <w:textAlignment w:val="baseline"/>
        <w:rPr>
          <w:rFonts w:ascii="DINCE-Regular" w:eastAsia="SimSun" w:hAnsi="DINCE-Regular" w:cs="Mangal"/>
          <w:color w:val="404040" w:themeColor="text1" w:themeTint="BF"/>
          <w:kern w:val="3"/>
          <w:sz w:val="22"/>
          <w:szCs w:val="22"/>
          <w:lang w:val="en-US" w:eastAsia="en-GB" w:bidi="hi-IN"/>
        </w:rPr>
      </w:pPr>
      <w:r w:rsidRPr="00AB3A2A">
        <w:rPr>
          <w:rFonts w:ascii="DINCE-Regular" w:eastAsia="SimSun" w:hAnsi="DINCE-Regular" w:cs="Mangal"/>
          <w:color w:val="404040" w:themeColor="text1" w:themeTint="BF"/>
          <w:kern w:val="3"/>
          <w:sz w:val="22"/>
          <w:szCs w:val="22"/>
          <w:lang w:val="en-US" w:eastAsia="en-GB" w:bidi="hi-IN"/>
        </w:rPr>
        <w:t>120 minutes in February</w:t>
      </w:r>
    </w:p>
    <w:p w14:paraId="0B09FEC1" w14:textId="77777777" w:rsidR="00BC319D" w:rsidRDefault="00BC319D"/>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DINCE-Regular">
    <w:panose1 w:val="020B0604020202020204"/>
    <w:charset w:val="00"/>
    <w:family w:val="auto"/>
    <w:pitch w:val="variable"/>
    <w:sig w:usb0="8000002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1E2B"/>
    <w:multiLevelType w:val="hybridMultilevel"/>
    <w:tmpl w:val="2AD82E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E9499C"/>
    <w:multiLevelType w:val="hybridMultilevel"/>
    <w:tmpl w:val="619A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22A10"/>
    <w:multiLevelType w:val="hybridMultilevel"/>
    <w:tmpl w:val="E48EB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6225091">
    <w:abstractNumId w:val="0"/>
  </w:num>
  <w:num w:numId="2" w16cid:durableId="457644844">
    <w:abstractNumId w:val="2"/>
  </w:num>
  <w:num w:numId="3" w16cid:durableId="75085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C"/>
    <w:rsid w:val="002F545A"/>
    <w:rsid w:val="00605D61"/>
    <w:rsid w:val="00A0510C"/>
    <w:rsid w:val="00BA77BC"/>
    <w:rsid w:val="00BC319D"/>
    <w:rsid w:val="00C64B42"/>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229B"/>
  <w15:chartTrackingRefBased/>
  <w15:docId w15:val="{C549CF48-9482-214B-8A2E-B31E40AC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BC"/>
    <w:rPr>
      <w:rFonts w:ascii="Times New Roman" w:eastAsia="Times New Roman" w:hAnsi="Times New Roman" w:cs="Times New Roman"/>
      <w:lang w:val="pl-PL" w:eastAsia="pl-PL"/>
    </w:rPr>
  </w:style>
  <w:style w:type="paragraph" w:styleId="Heading1">
    <w:name w:val="heading 1"/>
    <w:basedOn w:val="Normal"/>
    <w:next w:val="Normal"/>
    <w:link w:val="Heading1Char"/>
    <w:uiPriority w:val="9"/>
    <w:qFormat/>
    <w:rsid w:val="00BA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A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7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7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7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7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A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7BC"/>
    <w:rPr>
      <w:rFonts w:eastAsiaTheme="majorEastAsia" w:cstheme="majorBidi"/>
      <w:color w:val="272727" w:themeColor="text1" w:themeTint="D8"/>
    </w:rPr>
  </w:style>
  <w:style w:type="paragraph" w:styleId="Title">
    <w:name w:val="Title"/>
    <w:basedOn w:val="Normal"/>
    <w:next w:val="Normal"/>
    <w:link w:val="TitleChar"/>
    <w:uiPriority w:val="10"/>
    <w:qFormat/>
    <w:rsid w:val="00BA7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7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7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7BC"/>
    <w:rPr>
      <w:i/>
      <w:iCs/>
      <w:color w:val="404040" w:themeColor="text1" w:themeTint="BF"/>
    </w:rPr>
  </w:style>
  <w:style w:type="paragraph" w:styleId="ListParagraph">
    <w:name w:val="List Paragraph"/>
    <w:basedOn w:val="Normal"/>
    <w:uiPriority w:val="34"/>
    <w:qFormat/>
    <w:rsid w:val="00BA77BC"/>
    <w:pPr>
      <w:ind w:left="720"/>
      <w:contextualSpacing/>
    </w:pPr>
  </w:style>
  <w:style w:type="character" w:styleId="IntenseEmphasis">
    <w:name w:val="Intense Emphasis"/>
    <w:basedOn w:val="DefaultParagraphFont"/>
    <w:uiPriority w:val="21"/>
    <w:qFormat/>
    <w:rsid w:val="00BA77BC"/>
    <w:rPr>
      <w:i/>
      <w:iCs/>
      <w:color w:val="0F4761" w:themeColor="accent1" w:themeShade="BF"/>
    </w:rPr>
  </w:style>
  <w:style w:type="paragraph" w:styleId="IntenseQuote">
    <w:name w:val="Intense Quote"/>
    <w:basedOn w:val="Normal"/>
    <w:next w:val="Normal"/>
    <w:link w:val="IntenseQuoteChar"/>
    <w:uiPriority w:val="30"/>
    <w:qFormat/>
    <w:rsid w:val="00BA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7BC"/>
    <w:rPr>
      <w:i/>
      <w:iCs/>
      <w:color w:val="0F4761" w:themeColor="accent1" w:themeShade="BF"/>
    </w:rPr>
  </w:style>
  <w:style w:type="character" w:styleId="IntenseReference">
    <w:name w:val="Intense Reference"/>
    <w:basedOn w:val="DefaultParagraphFont"/>
    <w:uiPriority w:val="32"/>
    <w:qFormat/>
    <w:rsid w:val="00BA77BC"/>
    <w:rPr>
      <w:b/>
      <w:bCs/>
      <w:smallCaps/>
      <w:color w:val="0F4761" w:themeColor="accent1" w:themeShade="BF"/>
      <w:spacing w:val="5"/>
    </w:rPr>
  </w:style>
  <w:style w:type="paragraph" w:customStyle="1" w:styleId="Akapitzlist2">
    <w:name w:val="Akapit z listą2"/>
    <w:basedOn w:val="Normal"/>
    <w:qFormat/>
    <w:rsid w:val="00BA77BC"/>
    <w:pPr>
      <w:widowControl w:val="0"/>
      <w:suppressAutoHyphens/>
      <w:spacing w:after="200" w:line="276" w:lineRule="auto"/>
      <w:ind w:left="720"/>
    </w:pPr>
    <w:rPr>
      <w:rFonts w:ascii="Calibri" w:eastAsia="Calibri" w:hAnsi="Calibri" w:cs="Calibri"/>
      <w:kern w:val="1"/>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ientek4@op.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2025-08-22T14:27:00Z</dcterms:created>
  <dcterms:modified xsi:type="dcterms:W3CDTF">2025-08-22T14:28:00Z</dcterms:modified>
</cp:coreProperties>
</file>