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9C9E" w14:textId="0F937D90" w:rsidR="00EC23BF" w:rsidRDefault="00EC23BF" w:rsidP="00EC23BF">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r w:rsidRPr="00EC23BF">
        <w:rPr>
          <w:rFonts w:ascii="Arial" w:eastAsia="Arial" w:hAnsi="Arial" w:cs="Calibri Light"/>
          <w:color w:val="008080"/>
          <w:sz w:val="48"/>
          <w:szCs w:val="48"/>
          <w:lang w:val="en-GB"/>
        </w:rPr>
        <w:t>International Political Economy</w:t>
      </w:r>
    </w:p>
    <w:p w14:paraId="7201FBBA" w14:textId="77777777" w:rsidR="00EC23BF" w:rsidRPr="00EC23BF" w:rsidRDefault="00EC23BF" w:rsidP="00EC23BF">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GB"/>
        </w:rPr>
      </w:pPr>
    </w:p>
    <w:tbl>
      <w:tblPr>
        <w:tblStyle w:val="TableGridLight1"/>
        <w:tblW w:w="5000" w:type="pct"/>
        <w:tblLayout w:type="fixed"/>
        <w:tblLook w:val="01E0" w:firstRow="1" w:lastRow="1" w:firstColumn="1" w:lastColumn="1" w:noHBand="0" w:noVBand="0"/>
      </w:tblPr>
      <w:tblGrid>
        <w:gridCol w:w="9010"/>
      </w:tblGrid>
      <w:tr w:rsidR="00EC23BF" w:rsidRPr="00EC23BF" w14:paraId="2A8A1C86" w14:textId="77777777" w:rsidTr="00EC23BF">
        <w:trPr>
          <w:trHeight w:val="397"/>
        </w:trPr>
        <w:tc>
          <w:tcPr>
            <w:tcW w:w="5000" w:type="pct"/>
          </w:tcPr>
          <w:p w14:paraId="395FC80B"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b/>
                <w:lang w:val="en-GB"/>
              </w:rPr>
              <w:t>Credit level:</w:t>
            </w:r>
            <w:r w:rsidRPr="00EC23BF">
              <w:rPr>
                <w:rFonts w:ascii="Arial" w:eastAsia="Arial" w:hAnsi="Arial" w:cs="Arial"/>
                <w:i/>
                <w:iCs/>
                <w:spacing w:val="-9"/>
                <w:lang w:val="en-GB"/>
              </w:rPr>
              <w:t xml:space="preserve"> </w:t>
            </w:r>
            <w:r w:rsidRPr="00EC23BF">
              <w:rPr>
                <w:rFonts w:ascii="Arial" w:eastAsia="Arial" w:hAnsi="Arial" w:cs="Arial"/>
                <w:spacing w:val="-9"/>
                <w:lang w:val="en-GB"/>
              </w:rPr>
              <w:t>5</w:t>
            </w:r>
          </w:p>
        </w:tc>
      </w:tr>
      <w:tr w:rsidR="00EC23BF" w:rsidRPr="00EC23BF" w14:paraId="16D85C69" w14:textId="77777777" w:rsidTr="00EC23BF">
        <w:trPr>
          <w:trHeight w:val="397"/>
        </w:trPr>
        <w:tc>
          <w:tcPr>
            <w:tcW w:w="5000" w:type="pct"/>
          </w:tcPr>
          <w:p w14:paraId="0F7501F2" w14:textId="77777777" w:rsidR="00EC23BF" w:rsidRPr="00EC23BF" w:rsidRDefault="00EC23BF" w:rsidP="00EC23BF">
            <w:pPr>
              <w:spacing w:before="80" w:after="80"/>
              <w:contextualSpacing/>
              <w:rPr>
                <w:rFonts w:ascii="Arial" w:eastAsia="Arial" w:hAnsi="Arial" w:cs="Arial"/>
                <w:bCs/>
                <w:lang w:val="en-GB"/>
              </w:rPr>
            </w:pPr>
            <w:r w:rsidRPr="00EC23BF">
              <w:rPr>
                <w:rFonts w:ascii="Arial" w:eastAsia="Arial" w:hAnsi="Arial" w:cs="Arial"/>
                <w:b/>
                <w:lang w:val="en-GB"/>
              </w:rPr>
              <w:t xml:space="preserve">Length: </w:t>
            </w:r>
            <w:r w:rsidRPr="00EC23BF">
              <w:rPr>
                <w:rFonts w:ascii="Arial" w:eastAsia="Arial" w:hAnsi="Arial" w:cs="Arial"/>
                <w:bCs/>
                <w:lang w:val="en-GB"/>
              </w:rPr>
              <w:t>semester 1</w:t>
            </w:r>
          </w:p>
        </w:tc>
      </w:tr>
      <w:tr w:rsidR="00EC23BF" w:rsidRPr="00EC23BF" w14:paraId="349F74E6" w14:textId="77777777" w:rsidTr="00EC23BF">
        <w:trPr>
          <w:trHeight w:val="397"/>
        </w:trPr>
        <w:tc>
          <w:tcPr>
            <w:tcW w:w="5000" w:type="pct"/>
          </w:tcPr>
          <w:p w14:paraId="69A6873F" w14:textId="2917BBDD" w:rsidR="00EC23BF" w:rsidRPr="00EC23BF" w:rsidRDefault="00EC23BF" w:rsidP="00EC23BF">
            <w:pPr>
              <w:spacing w:before="80" w:after="80"/>
              <w:contextualSpacing/>
              <w:rPr>
                <w:rFonts w:ascii="Arial" w:eastAsia="Arial" w:hAnsi="Arial" w:cs="Arial"/>
                <w:b/>
                <w:lang w:val="en-GB"/>
              </w:rPr>
            </w:pPr>
            <w:r w:rsidRPr="00EC23BF">
              <w:rPr>
                <w:rFonts w:ascii="Arial" w:eastAsia="Arial" w:hAnsi="Arial" w:cs="Arial"/>
                <w:b/>
                <w:lang w:val="en-GB"/>
              </w:rPr>
              <w:t xml:space="preserve">ECTS credit value: </w:t>
            </w:r>
            <w:r>
              <w:rPr>
                <w:rFonts w:ascii="Arial" w:eastAsia="Arial" w:hAnsi="Arial" w:cs="Arial"/>
                <w:bCs/>
                <w:lang w:val="en-GB"/>
              </w:rPr>
              <w:t>8</w:t>
            </w:r>
            <w:r w:rsidRPr="00EC23BF">
              <w:rPr>
                <w:rFonts w:ascii="Arial" w:eastAsia="Arial" w:hAnsi="Arial" w:cs="Arial"/>
                <w:bCs/>
                <w:lang w:val="en-GB"/>
              </w:rPr>
              <w:t xml:space="preserve">  </w:t>
            </w:r>
          </w:p>
        </w:tc>
      </w:tr>
      <w:tr w:rsidR="00EC23BF" w:rsidRPr="00EC23BF" w14:paraId="136B406F" w14:textId="77777777" w:rsidTr="00EC23BF">
        <w:trPr>
          <w:trHeight w:val="397"/>
        </w:trPr>
        <w:tc>
          <w:tcPr>
            <w:tcW w:w="5000" w:type="pct"/>
          </w:tcPr>
          <w:p w14:paraId="64545C71" w14:textId="77777777" w:rsidR="00EC23BF" w:rsidRPr="00EC23BF" w:rsidRDefault="00EC23BF" w:rsidP="00EC23BF">
            <w:pPr>
              <w:spacing w:before="192" w:after="80"/>
              <w:contextualSpacing/>
              <w:rPr>
                <w:rFonts w:ascii="Arial" w:eastAsia="Arial" w:hAnsi="Arial" w:cs="Arial"/>
                <w:lang w:val="en-GB"/>
              </w:rPr>
            </w:pPr>
            <w:r w:rsidRPr="00EC23BF">
              <w:rPr>
                <w:rFonts w:ascii="Arial" w:eastAsia="Arial" w:hAnsi="Arial" w:cs="Arial"/>
                <w:b/>
                <w:lang w:val="en-GB"/>
              </w:rPr>
              <w:t xml:space="preserve">College and School: </w:t>
            </w:r>
            <w:r w:rsidRPr="00EC23BF">
              <w:rPr>
                <w:rFonts w:ascii="Arial" w:eastAsia="Arial" w:hAnsi="Arial" w:cs="Arial"/>
                <w:bCs/>
                <w:lang w:val="en-GB"/>
              </w:rPr>
              <w:t xml:space="preserve">Lazarski University in Warsaw, Faculty of Economics and Management </w:t>
            </w:r>
          </w:p>
        </w:tc>
      </w:tr>
      <w:tr w:rsidR="00EC23BF" w:rsidRPr="00EC23BF" w14:paraId="7B851B0C" w14:textId="77777777" w:rsidTr="00EC23BF">
        <w:trPr>
          <w:trHeight w:val="397"/>
        </w:trPr>
        <w:tc>
          <w:tcPr>
            <w:tcW w:w="5000" w:type="pct"/>
          </w:tcPr>
          <w:p w14:paraId="14938C96" w14:textId="77777777" w:rsidR="00EC23BF" w:rsidRPr="00EC23BF" w:rsidRDefault="00EC23BF" w:rsidP="00EC23BF">
            <w:pPr>
              <w:spacing w:before="192" w:after="80"/>
              <w:contextualSpacing/>
              <w:rPr>
                <w:rFonts w:ascii="Arial" w:eastAsia="Arial" w:hAnsi="Arial" w:cs="Arial"/>
                <w:b/>
                <w:lang w:val="pl-PL"/>
              </w:rPr>
            </w:pPr>
            <w:r w:rsidRPr="00EC23BF">
              <w:rPr>
                <w:rFonts w:ascii="Arial" w:eastAsia="Arial" w:hAnsi="Arial" w:cs="Arial"/>
                <w:b/>
                <w:lang w:val="pl-PL"/>
              </w:rPr>
              <w:t xml:space="preserve">Module Leader: </w:t>
            </w:r>
            <w:r w:rsidRPr="00EC23BF">
              <w:rPr>
                <w:rFonts w:ascii="Arial" w:eastAsia="Arial" w:hAnsi="Arial" w:cs="Arial"/>
                <w:bCs/>
                <w:lang w:val="pl-PL"/>
              </w:rPr>
              <w:t>Dr Tomasz M. Napiórkowski</w:t>
            </w:r>
          </w:p>
        </w:tc>
      </w:tr>
      <w:tr w:rsidR="00EC23BF" w:rsidRPr="00EC23BF" w14:paraId="0863C7AB" w14:textId="77777777" w:rsidTr="00EC23BF">
        <w:trPr>
          <w:trHeight w:val="397"/>
        </w:trPr>
        <w:tc>
          <w:tcPr>
            <w:tcW w:w="5000" w:type="pct"/>
          </w:tcPr>
          <w:p w14:paraId="3C6BA348" w14:textId="77777777" w:rsidR="00EC23BF" w:rsidRPr="00EC23BF" w:rsidRDefault="00EC23BF" w:rsidP="00EC23BF">
            <w:pPr>
              <w:spacing w:before="80" w:after="80"/>
              <w:contextualSpacing/>
              <w:rPr>
                <w:rFonts w:ascii="Arial" w:eastAsia="Arial" w:hAnsi="Arial" w:cs="Arial"/>
                <w:b/>
                <w:bCs/>
                <w:lang w:val="en-GB"/>
              </w:rPr>
            </w:pPr>
            <w:r w:rsidRPr="00EC23BF">
              <w:rPr>
                <w:rFonts w:ascii="Arial" w:eastAsia="Arial" w:hAnsi="Arial" w:cs="Arial"/>
                <w:b/>
                <w:bCs/>
                <w:lang w:val="en-GB"/>
              </w:rPr>
              <w:t xml:space="preserve">Host Course: </w:t>
            </w:r>
            <w:r w:rsidRPr="00EC23BF">
              <w:rPr>
                <w:rFonts w:ascii="Arial" w:eastAsia="Arial" w:hAnsi="Arial" w:cs="Arial"/>
                <w:lang w:val="en-GB"/>
              </w:rPr>
              <w:t>BA International Relations</w:t>
            </w:r>
          </w:p>
        </w:tc>
      </w:tr>
      <w:tr w:rsidR="00EC23BF" w:rsidRPr="00EC23BF" w14:paraId="4040848D" w14:textId="77777777" w:rsidTr="00EC23BF">
        <w:trPr>
          <w:trHeight w:val="397"/>
        </w:trPr>
        <w:tc>
          <w:tcPr>
            <w:tcW w:w="5000" w:type="pct"/>
          </w:tcPr>
          <w:p w14:paraId="247BE658" w14:textId="77777777" w:rsidR="00EC23BF" w:rsidRPr="00EC23BF" w:rsidRDefault="00EC23BF" w:rsidP="00EC23BF">
            <w:pPr>
              <w:spacing w:before="80" w:after="80"/>
              <w:contextualSpacing/>
              <w:rPr>
                <w:rFonts w:ascii="Arial" w:eastAsia="Arial" w:hAnsi="Arial" w:cs="Arial"/>
                <w:b/>
                <w:lang w:val="en-GB"/>
              </w:rPr>
            </w:pPr>
            <w:r w:rsidRPr="00EC23BF">
              <w:rPr>
                <w:rFonts w:ascii="Arial" w:eastAsia="Arial" w:hAnsi="Arial" w:cs="Arial"/>
                <w:b/>
                <w:lang w:val="en-GB"/>
              </w:rPr>
              <w:t>Pre-requisites:</w:t>
            </w:r>
            <w:r w:rsidRPr="00EC23BF">
              <w:rPr>
                <w:rFonts w:ascii="Arial" w:eastAsia="Arial" w:hAnsi="Arial" w:cs="Arial"/>
                <w:i/>
                <w:bdr w:val="none" w:sz="0" w:space="0" w:color="auto" w:frame="1"/>
                <w:lang w:val="en-GB"/>
              </w:rPr>
              <w:t xml:space="preserve"> </w:t>
            </w:r>
            <w:r w:rsidRPr="00EC23BF">
              <w:rPr>
                <w:rFonts w:ascii="Arial" w:eastAsia="Arial" w:hAnsi="Arial" w:cs="Arial"/>
                <w:iCs/>
                <w:shd w:val="clear" w:color="auto" w:fill="FFFFFF"/>
                <w:lang w:val="en-GB"/>
              </w:rPr>
              <w:t>N</w:t>
            </w:r>
            <w:r w:rsidRPr="00EC23BF">
              <w:rPr>
                <w:rFonts w:ascii="Arial" w:eastAsia="Arial" w:hAnsi="Arial" w:cs="Arial"/>
                <w:shd w:val="clear" w:color="auto" w:fill="FFFFFF"/>
                <w:lang w:val="en-GB"/>
              </w:rPr>
              <w:t>/A</w:t>
            </w:r>
          </w:p>
        </w:tc>
      </w:tr>
      <w:tr w:rsidR="00EC23BF" w:rsidRPr="00EC23BF" w14:paraId="12604381" w14:textId="77777777" w:rsidTr="00EC23BF">
        <w:trPr>
          <w:trHeight w:val="397"/>
        </w:trPr>
        <w:tc>
          <w:tcPr>
            <w:tcW w:w="5000" w:type="pct"/>
          </w:tcPr>
          <w:p w14:paraId="0629F31D" w14:textId="77777777" w:rsidR="00EC23BF" w:rsidRPr="00EC23BF" w:rsidRDefault="00EC23BF" w:rsidP="00EC23BF">
            <w:pPr>
              <w:spacing w:before="80" w:after="80"/>
              <w:contextualSpacing/>
              <w:rPr>
                <w:rFonts w:ascii="Arial" w:eastAsia="Arial" w:hAnsi="Arial" w:cs="Arial"/>
                <w:b/>
                <w:lang w:val="en-GB"/>
              </w:rPr>
            </w:pPr>
            <w:r w:rsidRPr="00EC23BF">
              <w:rPr>
                <w:rFonts w:ascii="Arial" w:eastAsia="Arial" w:hAnsi="Arial" w:cs="Arial"/>
                <w:b/>
                <w:lang w:val="en-GB"/>
              </w:rPr>
              <w:t>Co-requisites:</w:t>
            </w:r>
            <w:r w:rsidRPr="00EC23BF">
              <w:rPr>
                <w:rFonts w:ascii="Arial" w:eastAsia="Arial" w:hAnsi="Arial" w:cs="Arial"/>
                <w:i/>
                <w:bdr w:val="none" w:sz="0" w:space="0" w:color="auto" w:frame="1"/>
                <w:lang w:val="en-GB"/>
              </w:rPr>
              <w:t xml:space="preserve"> </w:t>
            </w:r>
            <w:r w:rsidRPr="00EC23BF">
              <w:rPr>
                <w:rFonts w:ascii="Arial" w:eastAsia="Arial" w:hAnsi="Arial" w:cs="Arial"/>
                <w:iCs/>
                <w:shd w:val="clear" w:color="auto" w:fill="FFFFFF"/>
                <w:lang w:val="en-GB"/>
              </w:rPr>
              <w:t>N</w:t>
            </w:r>
            <w:r w:rsidRPr="00EC23BF">
              <w:rPr>
                <w:rFonts w:ascii="Arial" w:eastAsia="Arial" w:hAnsi="Arial" w:cs="Arial"/>
                <w:shd w:val="clear" w:color="auto" w:fill="FFFFFF"/>
                <w:lang w:val="en-GB"/>
              </w:rPr>
              <w:t>/A</w:t>
            </w:r>
          </w:p>
        </w:tc>
      </w:tr>
      <w:tr w:rsidR="00EC23BF" w:rsidRPr="00EC23BF" w14:paraId="303023C4" w14:textId="77777777" w:rsidTr="00EC23BF">
        <w:trPr>
          <w:trHeight w:val="397"/>
        </w:trPr>
        <w:tc>
          <w:tcPr>
            <w:tcW w:w="5000" w:type="pct"/>
          </w:tcPr>
          <w:p w14:paraId="57AD58AF" w14:textId="77777777" w:rsidR="00EC23BF" w:rsidRPr="00EC23BF" w:rsidRDefault="00EC23BF" w:rsidP="00EC23BF">
            <w:pPr>
              <w:spacing w:before="80" w:after="80"/>
              <w:contextualSpacing/>
              <w:rPr>
                <w:rFonts w:ascii="Arial" w:eastAsia="Arial" w:hAnsi="Arial" w:cs="Arial"/>
                <w:b/>
                <w:lang w:val="en-GB"/>
              </w:rPr>
            </w:pPr>
            <w:r w:rsidRPr="00EC23BF">
              <w:rPr>
                <w:rFonts w:ascii="Arial" w:eastAsia="Arial" w:hAnsi="Arial" w:cs="Arial"/>
                <w:b/>
                <w:lang w:val="en-GB"/>
              </w:rPr>
              <w:t>Special features:</w:t>
            </w:r>
            <w:r w:rsidRPr="00EC23BF">
              <w:rPr>
                <w:rFonts w:ascii="Arial" w:eastAsia="Arial" w:hAnsi="Arial" w:cs="Arial"/>
                <w:i/>
                <w:bdr w:val="none" w:sz="0" w:space="0" w:color="auto" w:frame="1"/>
                <w:lang w:val="en-GB"/>
              </w:rPr>
              <w:t xml:space="preserve"> </w:t>
            </w:r>
            <w:r w:rsidRPr="00EC23BF">
              <w:rPr>
                <w:rFonts w:ascii="Arial" w:eastAsia="Arial" w:hAnsi="Arial" w:cs="Arial"/>
                <w:iCs/>
                <w:shd w:val="clear" w:color="auto" w:fill="FFFFFF"/>
                <w:lang w:val="en-GB"/>
              </w:rPr>
              <w:t>N</w:t>
            </w:r>
            <w:r w:rsidRPr="00EC23BF">
              <w:rPr>
                <w:rFonts w:ascii="Arial" w:eastAsia="Arial" w:hAnsi="Arial" w:cs="Arial"/>
                <w:shd w:val="clear" w:color="auto" w:fill="FFFFFF"/>
                <w:lang w:val="en-GB"/>
              </w:rPr>
              <w:t>/A</w:t>
            </w:r>
          </w:p>
        </w:tc>
      </w:tr>
      <w:tr w:rsidR="00EC23BF" w:rsidRPr="00EC23BF" w14:paraId="39753391" w14:textId="77777777" w:rsidTr="00EC23BF">
        <w:trPr>
          <w:trHeight w:val="397"/>
        </w:trPr>
        <w:tc>
          <w:tcPr>
            <w:tcW w:w="5000" w:type="pct"/>
          </w:tcPr>
          <w:p w14:paraId="41D8E926" w14:textId="77777777" w:rsidR="00EC23BF" w:rsidRPr="00EC23BF" w:rsidRDefault="00EC23BF" w:rsidP="00EC23BF">
            <w:pPr>
              <w:spacing w:before="80" w:after="80"/>
              <w:contextualSpacing/>
              <w:rPr>
                <w:rFonts w:ascii="Arial" w:eastAsia="Arial" w:hAnsi="Arial" w:cs="Arial"/>
                <w:b/>
                <w:lang w:val="en-GB"/>
              </w:rPr>
            </w:pPr>
            <w:r w:rsidRPr="00EC23BF">
              <w:rPr>
                <w:rFonts w:ascii="Arial" w:eastAsia="Arial" w:hAnsi="Arial" w:cs="Arial"/>
                <w:b/>
                <w:lang w:val="en-GB"/>
              </w:rPr>
              <w:t>Access restrictions:</w:t>
            </w:r>
            <w:r w:rsidRPr="00EC23BF">
              <w:rPr>
                <w:rFonts w:ascii="Arial" w:eastAsia="Arial" w:hAnsi="Arial" w:cs="Arial"/>
                <w:i/>
                <w:bdr w:val="none" w:sz="0" w:space="0" w:color="auto" w:frame="1"/>
                <w:lang w:val="en-GB"/>
              </w:rPr>
              <w:t xml:space="preserve"> </w:t>
            </w:r>
            <w:r w:rsidRPr="00EC23BF">
              <w:rPr>
                <w:rFonts w:ascii="Arial" w:eastAsia="Arial" w:hAnsi="Arial" w:cs="Arial"/>
                <w:iCs/>
                <w:shd w:val="clear" w:color="auto" w:fill="FFFFFF"/>
                <w:lang w:val="en-GB"/>
              </w:rPr>
              <w:t>N</w:t>
            </w:r>
            <w:r w:rsidRPr="00EC23BF">
              <w:rPr>
                <w:rFonts w:ascii="Arial" w:eastAsia="Arial" w:hAnsi="Arial" w:cs="Arial"/>
                <w:shd w:val="clear" w:color="auto" w:fill="FFFFFF"/>
                <w:lang w:val="en-GB"/>
              </w:rPr>
              <w:t>/A</w:t>
            </w:r>
          </w:p>
        </w:tc>
      </w:tr>
      <w:tr w:rsidR="00EC23BF" w:rsidRPr="00EC23BF" w14:paraId="1B4D5B1D" w14:textId="77777777" w:rsidTr="00EC23BF">
        <w:trPr>
          <w:trHeight w:val="397"/>
        </w:trPr>
        <w:tc>
          <w:tcPr>
            <w:tcW w:w="5000" w:type="pct"/>
          </w:tcPr>
          <w:p w14:paraId="113437CD" w14:textId="77777777" w:rsidR="00EC23BF" w:rsidRPr="00EC23BF" w:rsidRDefault="00EC23BF" w:rsidP="00EC23BF">
            <w:pPr>
              <w:spacing w:before="80" w:after="80"/>
              <w:contextualSpacing/>
              <w:jc w:val="both"/>
              <w:rPr>
                <w:rFonts w:ascii="Arial" w:eastAsia="Arial" w:hAnsi="Arial" w:cs="Arial"/>
                <w:b/>
                <w:bCs/>
                <w:lang w:val="en-GB"/>
              </w:rPr>
            </w:pPr>
            <w:r w:rsidRPr="00EC23BF">
              <w:rPr>
                <w:rFonts w:ascii="Arial" w:eastAsia="Arial" w:hAnsi="Arial" w:cs="Arial"/>
                <w:b/>
                <w:bCs/>
                <w:lang w:val="en-GB"/>
              </w:rPr>
              <w:t xml:space="preserve">Summary of module content: </w:t>
            </w:r>
            <w:r w:rsidRPr="00EC23BF">
              <w:rPr>
                <w:rFonts w:ascii="Arial" w:eastAsia="Arial" w:hAnsi="Arial" w:cs="Arial"/>
                <w:lang w:val="en-GB"/>
              </w:rPr>
              <w:t xml:space="preserve">International Political Economy. The aim of this </w:t>
            </w:r>
            <w:r w:rsidRPr="00EC23BF">
              <w:rPr>
                <w:rFonts w:ascii="Arial" w:eastAsia="Arial" w:hAnsi="Arial" w:cs="Arial"/>
              </w:rPr>
              <w:t>module</w:t>
            </w:r>
            <w:r w:rsidRPr="00EC23BF">
              <w:rPr>
                <w:rFonts w:ascii="Arial" w:eastAsia="Arial" w:hAnsi="Arial" w:cs="Arial"/>
                <w:lang w:val="en-GB"/>
              </w:rPr>
              <w:t xml:space="preserve"> is to introduce students to a medium level analysis of international relations from the economic perspective. Economy is the basis for most international relations seen in the world today both, positive (the concept of EU funds, foreign direct investment, multinational enterprises etc.) and negative (war for resources, sanctions etc.). Hence, it is imperative that students focusing on international relations have the capability to analyse those relations also form their economic perspective. Students will become familiar with trade and exchange rate theory to a level required to recognize how these two drivers of economic international relations between countries impact decisions made by politicians on a macro and global level. Therefore, explained issues range from definitions to concepts and theories of international economics. Students will delve on three influential theories of International Political Economics – liberalism, mercantilism, and economic structuralism – to gain understanding of how political dynamics influence decisions regarding resource allocation. Through engaging discussions, case studies, and real-world examples, students will develop analytical tools to navigate the multifaceted landscape of contemporary global economic and political interactions.</w:t>
            </w:r>
          </w:p>
        </w:tc>
      </w:tr>
    </w:tbl>
    <w:p w14:paraId="599D9039" w14:textId="77777777" w:rsidR="00EC23BF" w:rsidRDefault="00EC23BF" w:rsidP="00EC23BF">
      <w:pPr>
        <w:widowControl w:val="0"/>
        <w:autoSpaceDE w:val="0"/>
        <w:autoSpaceDN w:val="0"/>
        <w:spacing w:before="240" w:after="240"/>
        <w:outlineLvl w:val="0"/>
        <w:rPr>
          <w:rFonts w:ascii="Arial" w:eastAsia="Arial" w:hAnsi="Arial" w:cs="Arial"/>
          <w:b/>
          <w:bCs/>
          <w:sz w:val="32"/>
          <w:szCs w:val="36"/>
          <w:lang w:val="en-GB"/>
        </w:rPr>
      </w:pPr>
    </w:p>
    <w:p w14:paraId="42B06366" w14:textId="77777777" w:rsidR="00EC23BF" w:rsidRDefault="00EC23BF">
      <w:pPr>
        <w:rPr>
          <w:rFonts w:ascii="Arial" w:eastAsia="Arial" w:hAnsi="Arial" w:cs="Arial"/>
          <w:b/>
          <w:bCs/>
          <w:sz w:val="32"/>
          <w:szCs w:val="36"/>
          <w:lang w:val="en-GB"/>
        </w:rPr>
      </w:pPr>
      <w:r>
        <w:rPr>
          <w:rFonts w:ascii="Arial" w:eastAsia="Arial" w:hAnsi="Arial" w:cs="Arial"/>
          <w:b/>
          <w:bCs/>
          <w:sz w:val="32"/>
          <w:szCs w:val="36"/>
          <w:lang w:val="en-GB"/>
        </w:rPr>
        <w:br w:type="page"/>
      </w:r>
    </w:p>
    <w:p w14:paraId="01AD1E63" w14:textId="0CB2CEB3"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lastRenderedPageBreak/>
        <w:t>Assessment Methods</w:t>
      </w:r>
    </w:p>
    <w:tbl>
      <w:tblPr>
        <w:tblStyle w:val="GridTable1Light1"/>
        <w:tblW w:w="8785" w:type="dxa"/>
        <w:tblLayout w:type="fixed"/>
        <w:tblCellMar>
          <w:top w:w="28" w:type="dxa"/>
          <w:left w:w="85" w:type="dxa"/>
          <w:bottom w:w="28" w:type="dxa"/>
          <w:right w:w="85" w:type="dxa"/>
        </w:tblCellMar>
        <w:tblLook w:val="06A0" w:firstRow="1" w:lastRow="0" w:firstColumn="1" w:lastColumn="0" w:noHBand="1" w:noVBand="1"/>
      </w:tblPr>
      <w:tblGrid>
        <w:gridCol w:w="904"/>
        <w:gridCol w:w="1819"/>
        <w:gridCol w:w="1667"/>
        <w:gridCol w:w="1516"/>
        <w:gridCol w:w="2879"/>
      </w:tblGrid>
      <w:tr w:rsidR="00EC23BF" w:rsidRPr="00EC23BF" w14:paraId="7F6610BC" w14:textId="77777777" w:rsidTr="00FE71EB">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04" w:type="dxa"/>
          </w:tcPr>
          <w:p w14:paraId="69736DF1" w14:textId="77777777" w:rsidR="00EC23BF" w:rsidRPr="00EC23BF" w:rsidRDefault="00EC23BF" w:rsidP="00EC23BF">
            <w:pPr>
              <w:spacing w:after="80"/>
              <w:contextualSpacing/>
              <w:rPr>
                <w:rFonts w:ascii="Arial" w:eastAsia="Arial" w:hAnsi="Arial" w:cs="Arial"/>
                <w:lang w:val="en-GB"/>
              </w:rPr>
            </w:pPr>
            <w:r w:rsidRPr="00EC23BF">
              <w:rPr>
                <w:rFonts w:ascii="Arial" w:eastAsia="Arial" w:hAnsi="Arial" w:cs="Arial"/>
                <w:lang w:val="en-GB"/>
              </w:rPr>
              <w:t>Rank</w:t>
            </w:r>
          </w:p>
        </w:tc>
        <w:tc>
          <w:tcPr>
            <w:tcW w:w="1819" w:type="dxa"/>
          </w:tcPr>
          <w:p w14:paraId="0C4D9651" w14:textId="77777777" w:rsidR="00EC23BF" w:rsidRPr="00EC23BF" w:rsidRDefault="00EC23BF" w:rsidP="00EC23BF">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Assessment type</w:t>
            </w:r>
          </w:p>
        </w:tc>
        <w:tc>
          <w:tcPr>
            <w:tcW w:w="1667" w:type="dxa"/>
          </w:tcPr>
          <w:p w14:paraId="178C4ACA" w14:textId="77777777" w:rsidR="00EC23BF" w:rsidRPr="00EC23BF" w:rsidRDefault="00EC23BF" w:rsidP="00EC23BF">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Assessment name</w:t>
            </w:r>
          </w:p>
        </w:tc>
        <w:tc>
          <w:tcPr>
            <w:tcW w:w="1516" w:type="dxa"/>
          </w:tcPr>
          <w:p w14:paraId="7C1DE50C" w14:textId="77777777" w:rsidR="00EC23BF" w:rsidRPr="00EC23BF" w:rsidRDefault="00EC23BF" w:rsidP="00EC23BF">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Weighting</w:t>
            </w:r>
          </w:p>
        </w:tc>
        <w:tc>
          <w:tcPr>
            <w:tcW w:w="2879" w:type="dxa"/>
          </w:tcPr>
          <w:p w14:paraId="21E8EA02" w14:textId="77777777" w:rsidR="00EC23BF" w:rsidRPr="00EC23BF" w:rsidRDefault="00EC23BF" w:rsidP="00EC23BF">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lang w:val="en-GB"/>
              </w:rPr>
            </w:pPr>
            <w:r w:rsidRPr="00EC23BF">
              <w:rPr>
                <w:rFonts w:ascii="Arial" w:eastAsia="Arial" w:hAnsi="Arial" w:cs="Arial"/>
                <w:lang w:val="en-GB"/>
              </w:rPr>
              <w:t>Qualifying set</w:t>
            </w:r>
            <w:r w:rsidRPr="00EC23BF">
              <w:rPr>
                <w:rFonts w:ascii="Arial" w:eastAsia="Arial" w:hAnsi="Arial" w:cs="Arial"/>
                <w:spacing w:val="1"/>
                <w:lang w:val="en-GB"/>
              </w:rPr>
              <w:t xml:space="preserve"> </w:t>
            </w:r>
            <w:r w:rsidRPr="00EC23BF">
              <w:rPr>
                <w:rFonts w:ascii="Arial" w:eastAsia="Arial" w:hAnsi="Arial" w:cs="Arial"/>
                <w:lang w:val="en-GB"/>
              </w:rPr>
              <w:t>(where the</w:t>
            </w:r>
            <w:r w:rsidRPr="00EC23BF">
              <w:rPr>
                <w:rFonts w:ascii="Arial" w:eastAsia="Arial" w:hAnsi="Arial" w:cs="Arial"/>
                <w:spacing w:val="1"/>
                <w:lang w:val="en-GB"/>
              </w:rPr>
              <w:t xml:space="preserve"> </w:t>
            </w:r>
            <w:r w:rsidRPr="00EC23BF">
              <w:rPr>
                <w:rFonts w:ascii="Arial" w:eastAsia="Arial" w:hAnsi="Arial" w:cs="Arial"/>
                <w:lang w:val="en-GB"/>
              </w:rPr>
              <w:t>minimum mark</w:t>
            </w:r>
            <w:r w:rsidRPr="00EC23BF">
              <w:rPr>
                <w:rFonts w:ascii="Arial" w:eastAsia="Arial" w:hAnsi="Arial" w:cs="Arial"/>
                <w:spacing w:val="1"/>
                <w:lang w:val="en-GB"/>
              </w:rPr>
              <w:t xml:space="preserve"> </w:t>
            </w:r>
            <w:r w:rsidRPr="00EC23BF">
              <w:rPr>
                <w:rFonts w:ascii="Arial" w:eastAsia="Arial" w:hAnsi="Arial" w:cs="Arial"/>
                <w:lang w:val="en-GB"/>
              </w:rPr>
              <w:t>required applies across multiple</w:t>
            </w:r>
            <w:r w:rsidRPr="00EC23BF">
              <w:rPr>
                <w:rFonts w:ascii="Arial" w:eastAsia="Arial" w:hAnsi="Arial" w:cs="Arial"/>
                <w:spacing w:val="1"/>
                <w:lang w:val="en-GB"/>
              </w:rPr>
              <w:t xml:space="preserve"> </w:t>
            </w:r>
            <w:r w:rsidRPr="00EC23BF">
              <w:rPr>
                <w:rFonts w:ascii="Arial" w:eastAsia="Arial" w:hAnsi="Arial" w:cs="Arial"/>
                <w:lang w:val="en-GB"/>
              </w:rPr>
              <w:t>assessments)</w:t>
            </w:r>
          </w:p>
        </w:tc>
      </w:tr>
      <w:tr w:rsidR="00EC23BF" w:rsidRPr="00EC23BF" w14:paraId="59511D4A" w14:textId="77777777" w:rsidTr="00FE71EB">
        <w:trPr>
          <w:trHeight w:val="401"/>
        </w:trPr>
        <w:tc>
          <w:tcPr>
            <w:cnfStyle w:val="001000000000" w:firstRow="0" w:lastRow="0" w:firstColumn="1" w:lastColumn="0" w:oddVBand="0" w:evenVBand="0" w:oddHBand="0" w:evenHBand="0" w:firstRowFirstColumn="0" w:firstRowLastColumn="0" w:lastRowFirstColumn="0" w:lastRowLastColumn="0"/>
            <w:tcW w:w="904" w:type="dxa"/>
          </w:tcPr>
          <w:p w14:paraId="099CFD7A" w14:textId="77777777" w:rsidR="00EC23BF" w:rsidRPr="00EC23BF" w:rsidRDefault="00EC23BF" w:rsidP="00EC23BF">
            <w:pPr>
              <w:spacing w:after="80"/>
              <w:contextualSpacing/>
              <w:rPr>
                <w:rFonts w:ascii="Arial" w:eastAsia="Arial" w:hAnsi="Arial" w:cs="Arial"/>
                <w:lang w:val="en-GB"/>
              </w:rPr>
            </w:pPr>
            <w:r w:rsidRPr="00EC23BF">
              <w:rPr>
                <w:rFonts w:ascii="Arial" w:eastAsia="Arial" w:hAnsi="Arial" w:cs="Arial"/>
                <w:lang w:val="en-GB"/>
              </w:rPr>
              <w:t>1</w:t>
            </w:r>
          </w:p>
        </w:tc>
        <w:tc>
          <w:tcPr>
            <w:tcW w:w="1819" w:type="dxa"/>
          </w:tcPr>
          <w:p w14:paraId="66B4EA7D" w14:textId="77777777" w:rsidR="00EC23BF" w:rsidRPr="00EC23BF" w:rsidRDefault="00EC23BF" w:rsidP="00EC23BF">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Coursework</w:t>
            </w:r>
          </w:p>
        </w:tc>
        <w:tc>
          <w:tcPr>
            <w:tcW w:w="1667" w:type="dxa"/>
          </w:tcPr>
          <w:p w14:paraId="4594ADF4" w14:textId="77777777" w:rsidR="00EC23BF" w:rsidRPr="00EC23BF" w:rsidRDefault="00EC23BF" w:rsidP="00EC23BF">
            <w:pPr>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Research paper (2500 words)</w:t>
            </w:r>
          </w:p>
        </w:tc>
        <w:tc>
          <w:tcPr>
            <w:tcW w:w="1516" w:type="dxa"/>
          </w:tcPr>
          <w:p w14:paraId="73E23CBC" w14:textId="77777777" w:rsidR="00EC23BF" w:rsidRPr="00EC23BF" w:rsidRDefault="00EC23BF" w:rsidP="00EC23BF">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50%</w:t>
            </w:r>
          </w:p>
        </w:tc>
        <w:tc>
          <w:tcPr>
            <w:tcW w:w="2879" w:type="dxa"/>
            <w:vMerge w:val="restart"/>
          </w:tcPr>
          <w:p w14:paraId="4940E2FF" w14:textId="77777777" w:rsidR="00EC23BF" w:rsidRPr="00EC23BF" w:rsidRDefault="00EC23BF" w:rsidP="00EC23BF">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026412DA" w14:textId="77777777" w:rsidTr="00FE71EB">
        <w:trPr>
          <w:trHeight w:val="401"/>
        </w:trPr>
        <w:tc>
          <w:tcPr>
            <w:cnfStyle w:val="001000000000" w:firstRow="0" w:lastRow="0" w:firstColumn="1" w:lastColumn="0" w:oddVBand="0" w:evenVBand="0" w:oddHBand="0" w:evenHBand="0" w:firstRowFirstColumn="0" w:firstRowLastColumn="0" w:lastRowFirstColumn="0" w:lastRowLastColumn="0"/>
            <w:tcW w:w="904" w:type="dxa"/>
          </w:tcPr>
          <w:p w14:paraId="17DD72C2" w14:textId="77777777" w:rsidR="00EC23BF" w:rsidRPr="00EC23BF" w:rsidRDefault="00EC23BF" w:rsidP="00EC23BF">
            <w:pPr>
              <w:spacing w:after="80"/>
              <w:contextualSpacing/>
              <w:rPr>
                <w:rFonts w:ascii="Arial" w:eastAsia="Arial" w:hAnsi="Arial" w:cs="Arial"/>
                <w:lang w:val="en-GB"/>
              </w:rPr>
            </w:pPr>
            <w:r w:rsidRPr="00EC23BF">
              <w:rPr>
                <w:rFonts w:ascii="Arial" w:eastAsia="Arial" w:hAnsi="Arial" w:cs="Arial"/>
                <w:lang w:val="en-GB"/>
              </w:rPr>
              <w:t>2</w:t>
            </w:r>
          </w:p>
        </w:tc>
        <w:tc>
          <w:tcPr>
            <w:tcW w:w="1819" w:type="dxa"/>
          </w:tcPr>
          <w:p w14:paraId="25882BE8" w14:textId="77777777" w:rsidR="00EC23BF" w:rsidRPr="00EC23BF" w:rsidRDefault="00EC23BF" w:rsidP="00EC23BF">
            <w:pPr>
              <w:spacing w:after="80"/>
              <w:ind w:right="-83"/>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Closed Book Exam</w:t>
            </w:r>
          </w:p>
        </w:tc>
        <w:tc>
          <w:tcPr>
            <w:tcW w:w="1667" w:type="dxa"/>
          </w:tcPr>
          <w:p w14:paraId="74093C4B" w14:textId="77777777" w:rsidR="00EC23BF" w:rsidRPr="00EC23BF" w:rsidRDefault="00EC23BF" w:rsidP="00EC23BF">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Final exam</w:t>
            </w:r>
          </w:p>
        </w:tc>
        <w:tc>
          <w:tcPr>
            <w:tcW w:w="1516" w:type="dxa"/>
          </w:tcPr>
          <w:p w14:paraId="215B015C" w14:textId="77777777" w:rsidR="00EC23BF" w:rsidRPr="00EC23BF" w:rsidRDefault="00EC23BF" w:rsidP="00EC23BF">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50%</w:t>
            </w:r>
          </w:p>
        </w:tc>
        <w:tc>
          <w:tcPr>
            <w:tcW w:w="2879" w:type="dxa"/>
            <w:vMerge/>
          </w:tcPr>
          <w:p w14:paraId="3B4FE07E" w14:textId="77777777" w:rsidR="00EC23BF" w:rsidRPr="00EC23BF" w:rsidRDefault="00EC23BF" w:rsidP="00EC23BF">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lang w:val="en-GB"/>
              </w:rPr>
            </w:pPr>
          </w:p>
        </w:tc>
      </w:tr>
    </w:tbl>
    <w:p w14:paraId="5433D6D6"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t>Synoptic</w:t>
      </w:r>
      <w:r w:rsidRPr="00EC23BF">
        <w:rPr>
          <w:rFonts w:ascii="Arial" w:eastAsia="Arial" w:hAnsi="Arial" w:cs="Arial"/>
          <w:b/>
          <w:bCs/>
          <w:spacing w:val="29"/>
          <w:sz w:val="32"/>
          <w:szCs w:val="36"/>
          <w:lang w:val="en-GB"/>
        </w:rPr>
        <w:t xml:space="preserve"> </w:t>
      </w:r>
      <w:r w:rsidRPr="00EC23BF">
        <w:rPr>
          <w:rFonts w:ascii="Arial" w:eastAsia="Arial" w:hAnsi="Arial" w:cs="Arial"/>
          <w:b/>
          <w:bCs/>
          <w:sz w:val="32"/>
          <w:szCs w:val="36"/>
          <w:lang w:val="en-GB"/>
        </w:rPr>
        <w:t>assessment</w:t>
      </w:r>
    </w:p>
    <w:p w14:paraId="63C5BEF0" w14:textId="77777777" w:rsidR="00EC23BF" w:rsidRPr="00EC23BF" w:rsidRDefault="00EC23BF" w:rsidP="00EC23BF">
      <w:pPr>
        <w:widowControl w:val="0"/>
        <w:autoSpaceDE w:val="0"/>
        <w:autoSpaceDN w:val="0"/>
        <w:spacing w:before="240" w:after="240"/>
        <w:outlineLvl w:val="0"/>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N/A</w:t>
      </w:r>
    </w:p>
    <w:p w14:paraId="343ADCF2"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t>Learning outcomes</w:t>
      </w:r>
    </w:p>
    <w:p w14:paraId="513B0EFF"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lang w:val="en-GB"/>
        </w:rPr>
      </w:pPr>
      <w:r w:rsidRPr="00EC23BF">
        <w:rPr>
          <w:rFonts w:ascii="Arial" w:eastAsia="Arial" w:hAnsi="Arial" w:cs="Arial"/>
          <w:sz w:val="22"/>
          <w:szCs w:val="22"/>
          <w:lang w:val="en-GB"/>
        </w:rPr>
        <w:t>By the end of the module the successful student will be able to:</w:t>
      </w:r>
    </w:p>
    <w:p w14:paraId="61BB39BB" w14:textId="77777777" w:rsidR="00EC23BF" w:rsidRPr="00EC23BF" w:rsidRDefault="00EC23BF" w:rsidP="00EC23BF">
      <w:pPr>
        <w:pStyle w:val="ListParagraph"/>
        <w:widowControl w:val="0"/>
        <w:numPr>
          <w:ilvl w:val="0"/>
          <w:numId w:val="3"/>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LO1 - Understand the role of international trade and finance in shaping of today’s globalised world, connecting these economic processes to key theories of international political economy.</w:t>
      </w:r>
    </w:p>
    <w:p w14:paraId="66A2A6C1" w14:textId="77777777" w:rsidR="00EC23BF" w:rsidRPr="00EC23BF" w:rsidRDefault="00EC23BF" w:rsidP="00EC23BF">
      <w:pPr>
        <w:pStyle w:val="ListParagraph"/>
        <w:widowControl w:val="0"/>
        <w:numPr>
          <w:ilvl w:val="0"/>
          <w:numId w:val="3"/>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LO2 - Analyse the economic foundations of international relations, particularly the ways in which economic factors influence global political interactions and power dynamics.</w:t>
      </w:r>
    </w:p>
    <w:p w14:paraId="08E42291" w14:textId="77777777" w:rsidR="00EC23BF" w:rsidRPr="00EC23BF" w:rsidRDefault="00EC23BF" w:rsidP="00EC23BF">
      <w:pPr>
        <w:pStyle w:val="ListParagraph"/>
        <w:widowControl w:val="0"/>
        <w:numPr>
          <w:ilvl w:val="0"/>
          <w:numId w:val="3"/>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LO3 - Critically analyse impact of specific economic events on international relation trends.</w:t>
      </w:r>
    </w:p>
    <w:p w14:paraId="330ED018" w14:textId="77777777" w:rsidR="00EC23BF" w:rsidRPr="00EC23BF" w:rsidRDefault="00EC23BF" w:rsidP="00EC23BF">
      <w:pPr>
        <w:pStyle w:val="ListParagraph"/>
        <w:widowControl w:val="0"/>
        <w:numPr>
          <w:ilvl w:val="0"/>
          <w:numId w:val="3"/>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LO4 - Analyse real-word scenarios through the prism of IPE theories, demonstrating the ability to connect theoretical concepts with practical situations and current global events.</w:t>
      </w:r>
    </w:p>
    <w:p w14:paraId="5A520421"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t>Course outcomes the module contributes to:</w:t>
      </w:r>
    </w:p>
    <w:p w14:paraId="177556E8" w14:textId="77777777" w:rsidR="00EC23BF" w:rsidRPr="00EC23BF" w:rsidRDefault="00EC23BF" w:rsidP="00EC23BF">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L5.2 An awareness of the key traditions in international political theory and an ability to differentiate between specific thinkers and debates within the various traditions of International Relations.</w:t>
      </w:r>
    </w:p>
    <w:p w14:paraId="0B93D1DC" w14:textId="77777777" w:rsidR="00EC23BF" w:rsidRPr="00EC23BF" w:rsidRDefault="00EC23BF" w:rsidP="00EC23BF">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 xml:space="preserve">L5.8 An ability to successfully complete </w:t>
      </w:r>
      <w:r w:rsidRPr="00EC23BF">
        <w:rPr>
          <w:rFonts w:ascii="Arial" w:eastAsia="Arial" w:hAnsi="Arial" w:cs="Arial"/>
          <w:sz w:val="22"/>
          <w:szCs w:val="22"/>
          <w:lang w:val="en-GB"/>
        </w:rPr>
        <w:t>tasks that are transferrable to an appropriate professional employment setting</w:t>
      </w:r>
      <w:r w:rsidRPr="00EC23BF">
        <w:rPr>
          <w:rFonts w:ascii="Arial" w:eastAsia="Arial" w:hAnsi="Arial" w:cs="Arial"/>
          <w:sz w:val="22"/>
          <w:szCs w:val="22"/>
          <w:shd w:val="clear" w:color="auto" w:fill="FFFFFF"/>
          <w:lang w:val="en-GB"/>
        </w:rPr>
        <w:t>.</w:t>
      </w:r>
    </w:p>
    <w:p w14:paraId="40E694A7" w14:textId="77777777" w:rsidR="00EC23BF" w:rsidRPr="00EC23BF" w:rsidRDefault="00EC23BF" w:rsidP="00EC23BF">
      <w:pPr>
        <w:pStyle w:val="ListParagraph"/>
        <w:widowControl w:val="0"/>
        <w:numPr>
          <w:ilvl w:val="0"/>
          <w:numId w:val="2"/>
        </w:numPr>
        <w:autoSpaceDE w:val="0"/>
        <w:autoSpaceDN w:val="0"/>
        <w:spacing w:after="120" w:line="360" w:lineRule="auto"/>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 xml:space="preserve">L5.9 Develop the skills to work collaboratively as well as individually in a learning and research environment.  </w:t>
      </w:r>
    </w:p>
    <w:p w14:paraId="68E19931"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t>Indicative syllabus content</w:t>
      </w:r>
    </w:p>
    <w:p w14:paraId="31BED46E"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lastRenderedPageBreak/>
        <w:t>Economics as a foundation for international relations.</w:t>
      </w:r>
    </w:p>
    <w:p w14:paraId="00E83B75"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Who produces what and sells it to who and why – international trade theories.</w:t>
      </w:r>
    </w:p>
    <w:p w14:paraId="683DB385"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 xml:space="preserve">International trade policy. </w:t>
      </w:r>
    </w:p>
    <w:p w14:paraId="221CE21E"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Foreign exchange as a result and as a determinant of international relations.</w:t>
      </w:r>
    </w:p>
    <w:p w14:paraId="491B4DF3"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Mercantilism: unveiling historical power dynamics.</w:t>
      </w:r>
    </w:p>
    <w:p w14:paraId="378A2DD5"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Liberalism: markets, institutions, and global cooperation.</w:t>
      </w:r>
    </w:p>
    <w:p w14:paraId="4B0D13F4" w14:textId="77777777" w:rsidR="00EC23BF" w:rsidRPr="00EC23BF" w:rsidRDefault="00EC23BF" w:rsidP="00EC23BF">
      <w:pPr>
        <w:pStyle w:val="ListParagraph"/>
        <w:widowControl w:val="0"/>
        <w:numPr>
          <w:ilvl w:val="0"/>
          <w:numId w:val="1"/>
        </w:numPr>
        <w:autoSpaceDE w:val="0"/>
        <w:autoSpaceDN w:val="0"/>
        <w:spacing w:after="120" w:line="360" w:lineRule="auto"/>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Economic structuralism: unravelling inequality and power disparities.</w:t>
      </w:r>
    </w:p>
    <w:p w14:paraId="4FC34DBC"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t>Teaching</w:t>
      </w:r>
      <w:r w:rsidRPr="00EC23BF">
        <w:rPr>
          <w:rFonts w:ascii="Arial" w:eastAsia="Arial" w:hAnsi="Arial" w:cs="Arial"/>
          <w:b/>
          <w:bCs/>
          <w:spacing w:val="15"/>
          <w:sz w:val="32"/>
          <w:szCs w:val="36"/>
          <w:lang w:val="en-GB"/>
        </w:rPr>
        <w:t xml:space="preserve"> </w:t>
      </w:r>
      <w:r w:rsidRPr="00EC23BF">
        <w:rPr>
          <w:rFonts w:ascii="Arial" w:eastAsia="Arial" w:hAnsi="Arial" w:cs="Arial"/>
          <w:b/>
          <w:bCs/>
          <w:sz w:val="32"/>
          <w:szCs w:val="36"/>
          <w:lang w:val="en-GB"/>
        </w:rPr>
        <w:t>and</w:t>
      </w:r>
      <w:r w:rsidRPr="00EC23BF">
        <w:rPr>
          <w:rFonts w:ascii="Arial" w:eastAsia="Arial" w:hAnsi="Arial" w:cs="Arial"/>
          <w:b/>
          <w:bCs/>
          <w:spacing w:val="16"/>
          <w:sz w:val="32"/>
          <w:szCs w:val="36"/>
          <w:lang w:val="en-GB"/>
        </w:rPr>
        <w:t xml:space="preserve"> </w:t>
      </w:r>
      <w:r w:rsidRPr="00EC23BF">
        <w:rPr>
          <w:rFonts w:ascii="Arial" w:eastAsia="Arial" w:hAnsi="Arial" w:cs="Arial"/>
          <w:b/>
          <w:bCs/>
          <w:sz w:val="32"/>
          <w:szCs w:val="36"/>
          <w:lang w:val="en-GB"/>
        </w:rPr>
        <w:t>learning</w:t>
      </w:r>
      <w:r w:rsidRPr="00EC23BF">
        <w:rPr>
          <w:rFonts w:ascii="Arial" w:eastAsia="Arial" w:hAnsi="Arial" w:cs="Arial"/>
          <w:b/>
          <w:bCs/>
          <w:spacing w:val="16"/>
          <w:sz w:val="32"/>
          <w:szCs w:val="36"/>
          <w:lang w:val="en-GB"/>
        </w:rPr>
        <w:t xml:space="preserve"> </w:t>
      </w:r>
      <w:r w:rsidRPr="00EC23BF">
        <w:rPr>
          <w:rFonts w:ascii="Arial" w:eastAsia="Arial" w:hAnsi="Arial" w:cs="Arial"/>
          <w:b/>
          <w:bCs/>
          <w:sz w:val="32"/>
          <w:szCs w:val="36"/>
          <w:lang w:val="en-GB"/>
        </w:rPr>
        <w:t>methods</w:t>
      </w:r>
    </w:p>
    <w:p w14:paraId="1289F3D3" w14:textId="77777777" w:rsidR="00EC23BF" w:rsidRPr="00EC23BF" w:rsidRDefault="00EC23BF" w:rsidP="00EC23BF">
      <w:pPr>
        <w:contextualSpacing/>
        <w:jc w:val="both"/>
        <w:textAlignment w:val="baseline"/>
        <w:rPr>
          <w:rFonts w:ascii="Arial" w:eastAsia="Times New Roman" w:hAnsi="Arial" w:cs="Arial"/>
          <w:sz w:val="22"/>
          <w:szCs w:val="22"/>
          <w:shd w:val="clear" w:color="auto" w:fill="FFFFFF"/>
          <w:lang w:val="en-GB" w:eastAsia="en-GB"/>
        </w:rPr>
      </w:pPr>
      <w:r w:rsidRPr="00EC23BF">
        <w:rPr>
          <w:rFonts w:ascii="Arial" w:eastAsia="Times New Roman" w:hAnsi="Arial" w:cs="Arial"/>
          <w:sz w:val="22"/>
          <w:szCs w:val="22"/>
          <w:shd w:val="clear" w:color="auto" w:fill="FFFFFF"/>
          <w:lang w:val="en-GB" w:eastAsia="en-GB"/>
        </w:rPr>
        <w:t xml:space="preserve">This module will be taught by means of lectures, seminars, and self-directed study. </w:t>
      </w:r>
      <w:r w:rsidRPr="00EC23BF">
        <w:rPr>
          <w:rFonts w:ascii="Arial" w:eastAsia="Times New Roman" w:hAnsi="Arial" w:cs="Arial"/>
          <w:b/>
          <w:bCs/>
          <w:sz w:val="22"/>
          <w:szCs w:val="22"/>
          <w:shd w:val="clear" w:color="auto" w:fill="FFFFFF"/>
          <w:lang w:val="en-GB" w:eastAsia="en-GB"/>
        </w:rPr>
        <w:t>Lectures</w:t>
      </w:r>
      <w:r w:rsidRPr="00EC23BF">
        <w:rPr>
          <w:rFonts w:ascii="Arial" w:eastAsia="Times New Roman" w:hAnsi="Arial" w:cs="Arial"/>
          <w:sz w:val="22"/>
          <w:szCs w:val="22"/>
          <w:shd w:val="clear" w:color="auto" w:fill="FFFFFF"/>
          <w:lang w:val="en-GB" w:eastAsia="en-GB"/>
        </w:rPr>
        <w:t xml:space="preserve"> will introduce key concepts and frameworks in International Political Economy (IPE), ensuring students have a strong foundational understanding of the role of trade, finance, and economic events in shaping global relations. </w:t>
      </w:r>
      <w:r w:rsidRPr="00EC23BF">
        <w:rPr>
          <w:rFonts w:ascii="Arial" w:eastAsia="Times New Roman" w:hAnsi="Arial" w:cs="Arial"/>
          <w:b/>
          <w:bCs/>
          <w:sz w:val="22"/>
          <w:szCs w:val="22"/>
          <w:shd w:val="clear" w:color="auto" w:fill="FFFFFF"/>
          <w:lang w:val="en-GB" w:eastAsia="en-GB"/>
        </w:rPr>
        <w:t>Seminars</w:t>
      </w:r>
      <w:r w:rsidRPr="00EC23BF">
        <w:rPr>
          <w:rFonts w:ascii="Arial" w:eastAsia="Times New Roman" w:hAnsi="Arial" w:cs="Arial"/>
          <w:sz w:val="22"/>
          <w:szCs w:val="22"/>
          <w:shd w:val="clear" w:color="auto" w:fill="FFFFFF"/>
          <w:lang w:val="en-GB" w:eastAsia="en-GB"/>
        </w:rPr>
        <w:t xml:space="preserve"> will facilitate active learning through group discussions, case studies, and the application of theoretical concepts to real-world scenarios. Furthermore, students will receive guidance as to which supplementary publications they should be reading to further connect theory with practice using real-world examples. </w:t>
      </w:r>
    </w:p>
    <w:p w14:paraId="515BA6EA" w14:textId="77777777" w:rsidR="00EC23BF" w:rsidRPr="00EC23BF" w:rsidRDefault="00EC23BF" w:rsidP="00EC23BF">
      <w:pPr>
        <w:contextualSpacing/>
        <w:jc w:val="both"/>
        <w:textAlignment w:val="baseline"/>
        <w:rPr>
          <w:rFonts w:ascii="Segoe UI" w:eastAsia="Times New Roman" w:hAnsi="Segoe UI" w:cs="Segoe UI"/>
          <w:i/>
          <w:iCs/>
          <w:sz w:val="18"/>
          <w:szCs w:val="18"/>
          <w:lang w:val="en-GB" w:eastAsia="en-GB"/>
        </w:rPr>
      </w:pPr>
    </w:p>
    <w:tbl>
      <w:tblPr>
        <w:tblStyle w:val="GridTable1Light1"/>
        <w:tblW w:w="5000" w:type="pct"/>
        <w:tblLook w:val="06A0" w:firstRow="1" w:lastRow="0" w:firstColumn="1" w:lastColumn="0" w:noHBand="1" w:noVBand="1"/>
      </w:tblPr>
      <w:tblGrid>
        <w:gridCol w:w="5098"/>
        <w:gridCol w:w="1986"/>
        <w:gridCol w:w="1926"/>
      </w:tblGrid>
      <w:tr w:rsidR="00EC23BF" w:rsidRPr="00EC23BF" w14:paraId="76F36588"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41F40DD"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Activity type</w:t>
            </w:r>
          </w:p>
        </w:tc>
        <w:tc>
          <w:tcPr>
            <w:tcW w:w="1102" w:type="pct"/>
          </w:tcPr>
          <w:p w14:paraId="7E0840AA" w14:textId="77777777" w:rsidR="00EC23BF" w:rsidRPr="00EC23BF" w:rsidRDefault="00EC23BF" w:rsidP="00EC23BF">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Category</w:t>
            </w:r>
          </w:p>
        </w:tc>
        <w:tc>
          <w:tcPr>
            <w:tcW w:w="1069" w:type="pct"/>
          </w:tcPr>
          <w:p w14:paraId="1DA5A68E" w14:textId="77777777" w:rsidR="00EC23BF" w:rsidRPr="00EC23BF" w:rsidRDefault="00EC23BF" w:rsidP="00EC23BF">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Student learning and teaching hours*</w:t>
            </w:r>
          </w:p>
        </w:tc>
      </w:tr>
      <w:tr w:rsidR="00EC23BF" w:rsidRPr="00EC23BF" w14:paraId="201AF4D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28B0B56"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Lecture</w:t>
            </w:r>
          </w:p>
        </w:tc>
        <w:tc>
          <w:tcPr>
            <w:tcW w:w="1102" w:type="pct"/>
          </w:tcPr>
          <w:p w14:paraId="5B3EE8E3"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1779360B"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30</w:t>
            </w:r>
          </w:p>
        </w:tc>
      </w:tr>
      <w:tr w:rsidR="00EC23BF" w:rsidRPr="00EC23BF" w14:paraId="4B8C959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5301328"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Seminar</w:t>
            </w:r>
          </w:p>
        </w:tc>
        <w:tc>
          <w:tcPr>
            <w:tcW w:w="1102" w:type="pct"/>
          </w:tcPr>
          <w:p w14:paraId="605BB5B4"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3956A1DE"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60</w:t>
            </w:r>
          </w:p>
        </w:tc>
      </w:tr>
      <w:tr w:rsidR="00EC23BF" w:rsidRPr="00EC23BF" w14:paraId="3B2C149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B52C64C"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Tutorial</w:t>
            </w:r>
          </w:p>
        </w:tc>
        <w:tc>
          <w:tcPr>
            <w:tcW w:w="1102" w:type="pct"/>
          </w:tcPr>
          <w:p w14:paraId="618E3DA7"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28E02D06"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41741C0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51F0E1F"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Project supervisor</w:t>
            </w:r>
          </w:p>
        </w:tc>
        <w:tc>
          <w:tcPr>
            <w:tcW w:w="1102" w:type="pct"/>
          </w:tcPr>
          <w:p w14:paraId="336D7B40"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0A1E24BD"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0A36C28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E635F28"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Demonstration</w:t>
            </w:r>
          </w:p>
        </w:tc>
        <w:tc>
          <w:tcPr>
            <w:tcW w:w="1102" w:type="pct"/>
          </w:tcPr>
          <w:p w14:paraId="6546409E"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5329EB5A"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425A2D6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1D06411"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Practical classes and workshops</w:t>
            </w:r>
          </w:p>
        </w:tc>
        <w:tc>
          <w:tcPr>
            <w:tcW w:w="1102" w:type="pct"/>
          </w:tcPr>
          <w:p w14:paraId="629BC986"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0D8F025C"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2E06D29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88BD7A7"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Supervised time in studio/workshop</w:t>
            </w:r>
          </w:p>
        </w:tc>
        <w:tc>
          <w:tcPr>
            <w:tcW w:w="1102" w:type="pct"/>
          </w:tcPr>
          <w:p w14:paraId="47DCED58"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018A3458"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403348E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6CA7ED1"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Fieldwork</w:t>
            </w:r>
          </w:p>
        </w:tc>
        <w:tc>
          <w:tcPr>
            <w:tcW w:w="1102" w:type="pct"/>
          </w:tcPr>
          <w:p w14:paraId="316FFC98"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303A1B3A"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5C6E7C2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A808EAD"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External visits</w:t>
            </w:r>
          </w:p>
        </w:tc>
        <w:tc>
          <w:tcPr>
            <w:tcW w:w="1102" w:type="pct"/>
          </w:tcPr>
          <w:p w14:paraId="00EE44A4"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4FCBE71F"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797012D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59E056B"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Work based learning</w:t>
            </w:r>
          </w:p>
        </w:tc>
        <w:tc>
          <w:tcPr>
            <w:tcW w:w="1102" w:type="pct"/>
          </w:tcPr>
          <w:p w14:paraId="6A428926"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15946840"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0DDE1D4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B90FAFB"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Scheduled online learning</w:t>
            </w:r>
          </w:p>
        </w:tc>
        <w:tc>
          <w:tcPr>
            <w:tcW w:w="1102" w:type="pct"/>
          </w:tcPr>
          <w:p w14:paraId="63F966B1"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71E589A3"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1A03974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D166917"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Other learning</w:t>
            </w:r>
          </w:p>
        </w:tc>
        <w:tc>
          <w:tcPr>
            <w:tcW w:w="1102" w:type="pct"/>
          </w:tcPr>
          <w:p w14:paraId="7FCA5C96"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Scheduled</w:t>
            </w:r>
          </w:p>
        </w:tc>
        <w:tc>
          <w:tcPr>
            <w:tcW w:w="1069" w:type="pct"/>
          </w:tcPr>
          <w:p w14:paraId="114EE067"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18E1230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6CF39B0"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Total scheduled</w:t>
            </w:r>
          </w:p>
        </w:tc>
        <w:tc>
          <w:tcPr>
            <w:tcW w:w="1102" w:type="pct"/>
          </w:tcPr>
          <w:p w14:paraId="26E4E5F0"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3655E93A"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90</w:t>
            </w:r>
          </w:p>
        </w:tc>
      </w:tr>
      <w:tr w:rsidR="00EC23BF" w:rsidRPr="00EC23BF" w14:paraId="6002777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0096590"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Placement</w:t>
            </w:r>
          </w:p>
        </w:tc>
        <w:tc>
          <w:tcPr>
            <w:tcW w:w="1102" w:type="pct"/>
          </w:tcPr>
          <w:p w14:paraId="538A0A9F"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Placement</w:t>
            </w:r>
          </w:p>
        </w:tc>
        <w:tc>
          <w:tcPr>
            <w:tcW w:w="1069" w:type="pct"/>
          </w:tcPr>
          <w:p w14:paraId="71C65046"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EC23BF" w:rsidRPr="00EC23BF" w14:paraId="17F96903"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9AD77E1"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Independent study</w:t>
            </w:r>
          </w:p>
        </w:tc>
        <w:tc>
          <w:tcPr>
            <w:tcW w:w="1102" w:type="pct"/>
          </w:tcPr>
          <w:p w14:paraId="6EDCCB4D"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Independent</w:t>
            </w:r>
          </w:p>
        </w:tc>
        <w:tc>
          <w:tcPr>
            <w:tcW w:w="1069" w:type="pct"/>
          </w:tcPr>
          <w:p w14:paraId="27703DA3"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110</w:t>
            </w:r>
          </w:p>
        </w:tc>
      </w:tr>
      <w:tr w:rsidR="00EC23BF" w:rsidRPr="00EC23BF" w14:paraId="78BF577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63E66EA" w14:textId="77777777" w:rsidR="00EC23BF" w:rsidRPr="00EC23BF" w:rsidRDefault="00EC23BF" w:rsidP="00EC23BF">
            <w:pPr>
              <w:spacing w:before="80" w:after="80"/>
              <w:contextualSpacing/>
              <w:rPr>
                <w:rFonts w:ascii="Arial" w:eastAsia="Arial" w:hAnsi="Arial" w:cs="Arial"/>
                <w:lang w:val="en-GB"/>
              </w:rPr>
            </w:pPr>
            <w:r w:rsidRPr="00EC23BF">
              <w:rPr>
                <w:rFonts w:ascii="Arial" w:eastAsia="Arial" w:hAnsi="Arial" w:cs="Arial"/>
                <w:lang w:val="en-GB"/>
              </w:rPr>
              <w:t>Total student learning and teaching hours</w:t>
            </w:r>
          </w:p>
        </w:tc>
        <w:tc>
          <w:tcPr>
            <w:tcW w:w="1102" w:type="pct"/>
          </w:tcPr>
          <w:p w14:paraId="32FEFC25"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7B1BE8CF" w14:textId="77777777" w:rsidR="00EC23BF" w:rsidRPr="00EC23BF" w:rsidRDefault="00EC23BF" w:rsidP="00EC23BF">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EC23BF">
              <w:rPr>
                <w:rFonts w:ascii="Arial" w:eastAsia="Arial" w:hAnsi="Arial" w:cs="Arial"/>
                <w:lang w:val="en-GB"/>
              </w:rPr>
              <w:t>200</w:t>
            </w:r>
          </w:p>
        </w:tc>
      </w:tr>
    </w:tbl>
    <w:p w14:paraId="5F8A68D5" w14:textId="77777777" w:rsidR="00EC23BF" w:rsidRPr="00EC23BF" w:rsidRDefault="00EC23BF" w:rsidP="00EC23BF">
      <w:pPr>
        <w:widowControl w:val="0"/>
        <w:autoSpaceDE w:val="0"/>
        <w:autoSpaceDN w:val="0"/>
        <w:spacing w:before="120" w:after="120"/>
        <w:contextualSpacing/>
        <w:rPr>
          <w:rFonts w:ascii="Arial" w:eastAsia="Arial" w:hAnsi="Arial" w:cs="Arial"/>
          <w:sz w:val="22"/>
          <w:szCs w:val="22"/>
          <w:lang w:val="en-GB"/>
        </w:rPr>
      </w:pPr>
      <w:r w:rsidRPr="00EC23BF">
        <w:rPr>
          <w:rFonts w:ascii="Arial" w:eastAsia="Arial" w:hAnsi="Arial" w:cs="Arial"/>
          <w:sz w:val="22"/>
          <w:szCs w:val="22"/>
          <w:lang w:val="en-GB"/>
        </w:rPr>
        <w:t>*</w:t>
      </w:r>
      <w:proofErr w:type="gramStart"/>
      <w:r w:rsidRPr="00EC23BF">
        <w:rPr>
          <w:rFonts w:ascii="Arial" w:eastAsia="Arial" w:hAnsi="Arial" w:cs="Arial"/>
          <w:sz w:val="22"/>
          <w:szCs w:val="22"/>
          <w:lang w:val="en-GB"/>
        </w:rPr>
        <w:t>hours</w:t>
      </w:r>
      <w:proofErr w:type="gramEnd"/>
      <w:r w:rsidRPr="00EC23BF">
        <w:rPr>
          <w:rFonts w:ascii="Arial" w:eastAsia="Arial" w:hAnsi="Arial" w:cs="Arial"/>
          <w:sz w:val="22"/>
          <w:szCs w:val="22"/>
          <w:lang w:val="en-GB"/>
        </w:rPr>
        <w:t xml:space="preserve"> per activity type are indicative and subject to change.</w:t>
      </w:r>
    </w:p>
    <w:p w14:paraId="5BE4AB0A" w14:textId="77777777" w:rsidR="00EC23BF" w:rsidRPr="00EC23BF" w:rsidRDefault="00EC23BF" w:rsidP="00EC23BF">
      <w:pPr>
        <w:widowControl w:val="0"/>
        <w:autoSpaceDE w:val="0"/>
        <w:autoSpaceDN w:val="0"/>
        <w:spacing w:after="120"/>
        <w:contextualSpacing/>
        <w:rPr>
          <w:rFonts w:ascii="Arial" w:eastAsia="Arial" w:hAnsi="Arial" w:cs="Arial"/>
          <w:sz w:val="22"/>
          <w:szCs w:val="22"/>
          <w:lang w:val="en-GB"/>
        </w:rPr>
      </w:pPr>
    </w:p>
    <w:p w14:paraId="6E827B8B"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6"/>
          <w:lang w:val="en-GB"/>
        </w:rPr>
      </w:pPr>
      <w:r w:rsidRPr="00EC23BF">
        <w:rPr>
          <w:rFonts w:ascii="Arial" w:eastAsia="Arial" w:hAnsi="Arial" w:cs="Arial"/>
          <w:b/>
          <w:bCs/>
          <w:sz w:val="32"/>
          <w:szCs w:val="36"/>
          <w:lang w:val="en-GB"/>
        </w:rPr>
        <w:t xml:space="preserve">Assessment rationale: why has this assessment been used </w:t>
      </w:r>
      <w:r w:rsidRPr="00EC23BF">
        <w:rPr>
          <w:rFonts w:ascii="Arial" w:eastAsia="Arial" w:hAnsi="Arial" w:cs="Arial"/>
          <w:b/>
          <w:bCs/>
          <w:sz w:val="32"/>
          <w:szCs w:val="36"/>
          <w:lang w:val="en-GB"/>
        </w:rPr>
        <w:lastRenderedPageBreak/>
        <w:t>for this module?</w:t>
      </w:r>
    </w:p>
    <w:p w14:paraId="1ECA6654" w14:textId="77777777" w:rsidR="00EC23BF" w:rsidRPr="00EC23BF" w:rsidRDefault="00EC23BF" w:rsidP="00EC23BF">
      <w:pPr>
        <w:widowControl w:val="0"/>
        <w:autoSpaceDE w:val="0"/>
        <w:autoSpaceDN w:val="0"/>
        <w:spacing w:after="120"/>
        <w:jc w:val="both"/>
        <w:rPr>
          <w:rFonts w:ascii="Arial" w:eastAsia="Arial" w:hAnsi="Arial" w:cs="Arial"/>
          <w:sz w:val="22"/>
          <w:szCs w:val="22"/>
          <w:shd w:val="clear" w:color="auto" w:fill="FFFFFF"/>
          <w:lang w:val="en-US"/>
        </w:rPr>
      </w:pPr>
      <w:r w:rsidRPr="00EC23BF">
        <w:rPr>
          <w:rFonts w:ascii="Arial" w:eastAsia="Arial" w:hAnsi="Arial" w:cs="Arial"/>
          <w:b/>
          <w:bCs/>
          <w:sz w:val="22"/>
          <w:szCs w:val="22"/>
          <w:lang w:val="en-GB"/>
        </w:rPr>
        <w:t>Coursework</w:t>
      </w:r>
      <w:r w:rsidRPr="00EC23BF">
        <w:rPr>
          <w:rFonts w:ascii="Arial" w:eastAsia="Arial" w:hAnsi="Arial" w:cs="Arial"/>
          <w:sz w:val="22"/>
          <w:szCs w:val="22"/>
          <w:lang w:val="en-GB"/>
        </w:rPr>
        <w:t xml:space="preserve"> (2500 words): a research paper allows students to delve into specific topics, apply theoretical frameworks, analyse case studies, and articulate arguments supported by evidence while addressing real-world challenges.</w:t>
      </w:r>
      <w:r w:rsidRPr="00EC23BF">
        <w:rPr>
          <w:rFonts w:ascii="Arial" w:eastAsia="Arial" w:hAnsi="Arial" w:cs="Arial"/>
          <w:sz w:val="22"/>
          <w:szCs w:val="22"/>
          <w:lang w:val="en-US"/>
        </w:rPr>
        <w:t xml:space="preserve"> </w:t>
      </w:r>
      <w:r w:rsidRPr="00EC23BF">
        <w:rPr>
          <w:rFonts w:ascii="Arial" w:eastAsia="Arial" w:hAnsi="Arial" w:cs="Arial"/>
          <w:sz w:val="22"/>
          <w:szCs w:val="22"/>
          <w:shd w:val="clear" w:color="auto" w:fill="FFFFFF"/>
          <w:lang w:val="en-US"/>
        </w:rPr>
        <w:t xml:space="preserve">Additionally, the assessment’s emphasis on applying theoretical frameworks to practical scenarios enhances problem-solving abilities, which are highly valued by multinational corporations, think tanks, and international development agencies. </w:t>
      </w:r>
      <w:r w:rsidRPr="00EC23BF">
        <w:rPr>
          <w:rFonts w:ascii="Arial" w:eastAsia="Arial" w:hAnsi="Arial" w:cs="Arial"/>
          <w:sz w:val="22"/>
          <w:szCs w:val="22"/>
          <w:lang w:val="en-GB"/>
        </w:rPr>
        <w:t>This assessment will contribute to LOs 2 and 3.</w:t>
      </w:r>
    </w:p>
    <w:p w14:paraId="55C46E78" w14:textId="77777777" w:rsidR="00EC23BF" w:rsidRPr="00EC23BF" w:rsidRDefault="00EC23BF" w:rsidP="00EC23BF">
      <w:pPr>
        <w:widowControl w:val="0"/>
        <w:autoSpaceDE w:val="0"/>
        <w:autoSpaceDN w:val="0"/>
        <w:spacing w:after="120"/>
        <w:jc w:val="both"/>
        <w:rPr>
          <w:rFonts w:ascii="Arial" w:eastAsia="Arial" w:hAnsi="Arial" w:cs="Arial"/>
          <w:sz w:val="22"/>
          <w:szCs w:val="22"/>
          <w:shd w:val="clear" w:color="auto" w:fill="FFFFFF"/>
          <w:lang w:val="en-US"/>
        </w:rPr>
      </w:pPr>
      <w:r w:rsidRPr="00EC23BF">
        <w:rPr>
          <w:rFonts w:ascii="Arial" w:eastAsia="Arial" w:hAnsi="Arial" w:cs="Arial"/>
          <w:sz w:val="22"/>
          <w:szCs w:val="22"/>
          <w:shd w:val="clear" w:color="auto" w:fill="FFFFFF"/>
          <w:lang w:val="en-GB"/>
        </w:rPr>
        <w:t xml:space="preserve">Students </w:t>
      </w:r>
      <w:r w:rsidRPr="00EC23BF">
        <w:rPr>
          <w:rFonts w:ascii="Arial" w:eastAsia="Arial" w:hAnsi="Arial" w:cs="Arial"/>
          <w:sz w:val="22"/>
          <w:szCs w:val="22"/>
          <w:shd w:val="clear" w:color="auto" w:fill="FFFFFF"/>
          <w:lang w:val="en-US"/>
        </w:rPr>
        <w:t xml:space="preserve">may use AI tools as limited research </w:t>
      </w:r>
      <w:r w:rsidRPr="00EC23BF">
        <w:rPr>
          <w:rFonts w:ascii="Arial" w:eastAsia="Arial" w:hAnsi="Arial" w:cs="Arial"/>
          <w:sz w:val="22"/>
          <w:szCs w:val="22"/>
          <w:shd w:val="clear" w:color="auto" w:fill="FFFFFF"/>
          <w:lang w:val="en-GB"/>
        </w:rPr>
        <w:t>assistance</w:t>
      </w:r>
      <w:r w:rsidRPr="00EC23BF">
        <w:rPr>
          <w:rFonts w:ascii="Arial" w:eastAsia="Arial" w:hAnsi="Arial" w:cs="Arial"/>
          <w:sz w:val="22"/>
          <w:szCs w:val="22"/>
          <w:shd w:val="clear" w:color="auto" w:fill="FFFFFF"/>
          <w:lang w:val="en-US"/>
        </w:rPr>
        <w:t xml:space="preserve"> and for </w:t>
      </w:r>
      <w:r w:rsidRPr="00EC23BF">
        <w:rPr>
          <w:rFonts w:ascii="Arial" w:eastAsia="Arial" w:hAnsi="Arial" w:cs="Arial"/>
          <w:sz w:val="22"/>
          <w:szCs w:val="22"/>
          <w:shd w:val="clear" w:color="auto" w:fill="FFFFFF"/>
          <w:lang w:val="en-GB"/>
        </w:rPr>
        <w:t>improving</w:t>
      </w:r>
      <w:r w:rsidRPr="00EC23BF">
        <w:rPr>
          <w:rFonts w:ascii="Arial" w:eastAsia="Arial" w:hAnsi="Arial" w:cs="Arial"/>
          <w:sz w:val="22"/>
          <w:szCs w:val="22"/>
          <w:shd w:val="clear" w:color="auto" w:fill="FFFFFF"/>
          <w:lang w:val="en-US"/>
        </w:rPr>
        <w:t xml:space="preserve"> grammar and spelling. These tools should enhance, not replace, students’ critical thinking</w:t>
      </w:r>
      <w:r w:rsidRPr="00EC23BF">
        <w:rPr>
          <w:rFonts w:ascii="Arial" w:eastAsia="Arial" w:hAnsi="Arial" w:cs="Arial"/>
          <w:sz w:val="22"/>
          <w:szCs w:val="22"/>
          <w:shd w:val="clear" w:color="auto" w:fill="FFFFFF"/>
          <w:lang w:val="en-GB"/>
        </w:rPr>
        <w:t>:</w:t>
      </w:r>
      <w:r w:rsidRPr="00EC23BF">
        <w:rPr>
          <w:rFonts w:ascii="Arial" w:eastAsia="Arial" w:hAnsi="Arial" w:cs="Arial"/>
          <w:sz w:val="22"/>
          <w:szCs w:val="22"/>
          <w:shd w:val="clear" w:color="auto" w:fill="FFFFFF"/>
          <w:lang w:val="en-US"/>
        </w:rPr>
        <w:t xml:space="preserve"> all substantive analysis, arguments, and conclusions must be students’ own intellectual work. Students remain fully responsible for fact-checking all information, regardless of source. Use of AI beyond the permitted scope (grammar, spelling, and research assistance) may result in academic penalties.</w:t>
      </w:r>
    </w:p>
    <w:p w14:paraId="6BCED625"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US"/>
        </w:rPr>
      </w:pPr>
      <w:r w:rsidRPr="00EC23BF">
        <w:rPr>
          <w:rFonts w:ascii="Arial" w:eastAsia="Arial" w:hAnsi="Arial" w:cs="Arial"/>
          <w:b/>
          <w:bCs/>
          <w:sz w:val="22"/>
          <w:szCs w:val="22"/>
          <w:shd w:val="clear" w:color="auto" w:fill="FFFFFF"/>
          <w:lang w:val="en-US"/>
        </w:rPr>
        <w:t>The final examination</w:t>
      </w:r>
      <w:r w:rsidRPr="00EC23BF">
        <w:rPr>
          <w:rFonts w:ascii="Arial" w:eastAsia="Arial" w:hAnsi="Arial" w:cs="Arial"/>
          <w:sz w:val="22"/>
          <w:szCs w:val="22"/>
          <w:shd w:val="clear" w:color="auto" w:fill="FFFFFF"/>
          <w:lang w:val="en-US"/>
        </w:rPr>
        <w:t xml:space="preserve"> (100 minutes) helps students to develop analytical reasoning, critical evaluation of complex global economic relationships, and the ability to articulate nuanced arguments under time constraints—skills essential for careers in diplomatic service, international organizations, policy analysis, economic consulting, and government relations. This type of assessment directly addresses LOs 1 and 4.</w:t>
      </w:r>
    </w:p>
    <w:p w14:paraId="78FA4080"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US"/>
        </w:rPr>
      </w:pPr>
    </w:p>
    <w:p w14:paraId="33896078" w14:textId="77777777" w:rsidR="00EC23BF" w:rsidRPr="00EC23BF" w:rsidRDefault="00EC23BF" w:rsidP="00EC23BF">
      <w:pPr>
        <w:widowControl w:val="0"/>
        <w:autoSpaceDE w:val="0"/>
        <w:autoSpaceDN w:val="0"/>
        <w:spacing w:before="240" w:after="240"/>
        <w:jc w:val="both"/>
        <w:outlineLvl w:val="0"/>
        <w:rPr>
          <w:rFonts w:ascii="Arial" w:eastAsia="Arial" w:hAnsi="Arial" w:cs="Arial"/>
          <w:b/>
          <w:bCs/>
          <w:sz w:val="32"/>
          <w:szCs w:val="36"/>
          <w:lang w:val="en-GB"/>
        </w:rPr>
      </w:pPr>
      <w:r w:rsidRPr="00EC23BF">
        <w:rPr>
          <w:rFonts w:ascii="Arial" w:eastAsia="Arial" w:hAnsi="Arial" w:cs="Arial"/>
          <w:b/>
          <w:bCs/>
          <w:sz w:val="32"/>
          <w:szCs w:val="36"/>
          <w:lang w:val="en-GB"/>
        </w:rPr>
        <w:t>Assessment criteria: what criteria will be used to assess my work on this module?</w:t>
      </w:r>
    </w:p>
    <w:p w14:paraId="384699B6"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GB"/>
        </w:rPr>
      </w:pPr>
      <w:r w:rsidRPr="00EC23BF">
        <w:rPr>
          <w:rFonts w:ascii="Arial" w:eastAsia="Arial" w:hAnsi="Arial" w:cs="Arial"/>
          <w:b/>
          <w:bCs/>
          <w:sz w:val="22"/>
          <w:szCs w:val="22"/>
          <w:lang w:val="en-GB"/>
        </w:rPr>
        <w:t>The Coursework</w:t>
      </w:r>
      <w:r w:rsidRPr="00EC23BF">
        <w:rPr>
          <w:rFonts w:ascii="Arial" w:eastAsia="Arial" w:hAnsi="Arial" w:cs="Arial"/>
          <w:sz w:val="22"/>
          <w:szCs w:val="22"/>
          <w:lang w:val="en-GB"/>
        </w:rPr>
        <w:t xml:space="preserve"> research</w:t>
      </w:r>
      <w:r w:rsidRPr="00EC23BF">
        <w:rPr>
          <w:rFonts w:ascii="Arial" w:eastAsia="Arial" w:hAnsi="Arial" w:cs="Arial"/>
          <w:b/>
          <w:bCs/>
          <w:sz w:val="22"/>
          <w:szCs w:val="22"/>
          <w:lang w:val="en-GB"/>
        </w:rPr>
        <w:t xml:space="preserve"> </w:t>
      </w:r>
      <w:r w:rsidRPr="00EC23BF">
        <w:rPr>
          <w:rFonts w:ascii="Arial" w:eastAsia="Arial" w:hAnsi="Arial" w:cs="Arial"/>
          <w:sz w:val="22"/>
          <w:szCs w:val="22"/>
          <w:lang w:val="en-GB"/>
        </w:rPr>
        <w:t>paper will examine the extent to which the student has demonstrated an u</w:t>
      </w:r>
      <w:r w:rsidRPr="00EC23BF">
        <w:rPr>
          <w:rFonts w:ascii="Arial" w:eastAsia="Arial" w:hAnsi="Arial" w:cs="Arial"/>
          <w:sz w:val="22"/>
          <w:szCs w:val="22"/>
          <w:shd w:val="clear" w:color="auto" w:fill="FFFFFF"/>
          <w:lang w:val="en-GB"/>
        </w:rPr>
        <w:t xml:space="preserve">nderstanding of the role of international trade and finance in shaping of today’s globalised world. It should incorporate elements such as trade and investment agreements as well as the underlying reasons for the increasing protectionism among developed economies. </w:t>
      </w:r>
      <w:r w:rsidRPr="00EC23BF">
        <w:rPr>
          <w:rFonts w:ascii="Arial" w:eastAsia="Arial" w:hAnsi="Arial" w:cs="Arial"/>
          <w:sz w:val="22"/>
          <w:szCs w:val="22"/>
          <w:lang w:val="en-GB"/>
        </w:rPr>
        <w:t xml:space="preserve">The paper will also require students to use economic theory (e.g., comparative advantage) to </w:t>
      </w:r>
      <w:r w:rsidRPr="00EC23BF">
        <w:rPr>
          <w:rFonts w:ascii="Arial" w:eastAsia="Arial" w:hAnsi="Arial" w:cs="Arial"/>
          <w:sz w:val="22"/>
          <w:szCs w:val="22"/>
          <w:shd w:val="clear" w:color="auto" w:fill="FFFFFF"/>
          <w:lang w:val="en-GB"/>
        </w:rPr>
        <w:t>analyse the economic underpinnings of international relations between countries (i.e.., who produces and trades what and why).</w:t>
      </w:r>
      <w:r w:rsidRPr="00EC23BF">
        <w:rPr>
          <w:rFonts w:ascii="Arial" w:eastAsia="Arial" w:hAnsi="Arial" w:cs="Arial"/>
          <w:sz w:val="22"/>
          <w:szCs w:val="22"/>
          <w:lang w:val="en-GB"/>
        </w:rPr>
        <w:t xml:space="preserve"> </w:t>
      </w:r>
      <w:r w:rsidRPr="00EC23BF">
        <w:rPr>
          <w:rFonts w:ascii="Arial" w:eastAsia="Arial" w:hAnsi="Arial" w:cs="Arial"/>
          <w:sz w:val="22"/>
          <w:szCs w:val="22"/>
          <w:shd w:val="clear" w:color="auto" w:fill="FFFFFF"/>
          <w:lang w:val="en-GB"/>
        </w:rPr>
        <w:t>The marking scheme for the paper is divided into five components, each accounting for 20% of the grade: (1) quality of writing, (2) use of evidence, (3) quality of argument and analysis, (4) context and facts and (5) for use of references and citations.</w:t>
      </w:r>
    </w:p>
    <w:p w14:paraId="0783A4DA"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GB"/>
        </w:rPr>
      </w:pPr>
    </w:p>
    <w:p w14:paraId="6057E87B"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GB"/>
        </w:rPr>
      </w:pPr>
      <w:r w:rsidRPr="00EC23BF">
        <w:rPr>
          <w:rFonts w:ascii="Arial" w:eastAsia="Arial" w:hAnsi="Arial" w:cs="Arial"/>
          <w:b/>
          <w:bCs/>
          <w:sz w:val="22"/>
          <w:szCs w:val="22"/>
          <w:shd w:val="clear" w:color="auto" w:fill="FFFFFF"/>
          <w:lang w:val="en-GB"/>
        </w:rPr>
        <w:t>The final</w:t>
      </w:r>
      <w:r w:rsidRPr="00EC23BF">
        <w:rPr>
          <w:rFonts w:ascii="Arial" w:eastAsia="Arial" w:hAnsi="Arial" w:cs="Arial"/>
          <w:sz w:val="22"/>
          <w:szCs w:val="22"/>
          <w:shd w:val="clear" w:color="auto" w:fill="FFFFFF"/>
          <w:lang w:val="en-GB"/>
        </w:rPr>
        <w:t xml:space="preserve"> exam will consist of about six topics, from which student will select two-three, on which they will elaborate through an analysis of real-word scenarios through the prism of IPE theories, demonstrating the ability to connect theoretical concepts with practical situations and current global events. This approach allows students to select not only the topics, on which they would like to elaborate on, but also provides them with greater freedom to communicate with the teacher through a wide range of selected tool. The marking scheme for the final exam is divided into five components, each accounting for 20% of the grade: (1) theory; (2) tools used; (3) real-world references; (4) overall discussion, and (5) conclusions. Students will be asked to provide diagrams and calculations, where appropriate.</w:t>
      </w:r>
    </w:p>
    <w:p w14:paraId="277E93BF"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GB"/>
        </w:rPr>
      </w:pPr>
    </w:p>
    <w:p w14:paraId="40B4BD62"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lang w:val="en-GB"/>
        </w:rPr>
      </w:pPr>
    </w:p>
    <w:p w14:paraId="70D236EF" w14:textId="77777777" w:rsidR="00EC23BF" w:rsidRPr="00EC23BF" w:rsidRDefault="00EC23BF" w:rsidP="00EC23BF">
      <w:pPr>
        <w:widowControl w:val="0"/>
        <w:autoSpaceDE w:val="0"/>
        <w:autoSpaceDN w:val="0"/>
        <w:spacing w:before="240" w:after="240"/>
        <w:outlineLvl w:val="0"/>
        <w:rPr>
          <w:rFonts w:ascii="Arial" w:eastAsia="Arial" w:hAnsi="Arial" w:cs="Arial"/>
          <w:b/>
          <w:bCs/>
          <w:sz w:val="32"/>
          <w:szCs w:val="32"/>
          <w:lang w:val="en-GB"/>
        </w:rPr>
      </w:pPr>
      <w:r w:rsidRPr="00EC23BF">
        <w:rPr>
          <w:rFonts w:ascii="Arial" w:eastAsia="Arial" w:hAnsi="Arial" w:cs="Arial"/>
          <w:b/>
          <w:bCs/>
          <w:sz w:val="32"/>
          <w:szCs w:val="32"/>
          <w:lang w:val="en-GB"/>
        </w:rPr>
        <w:t>Sources</w:t>
      </w:r>
    </w:p>
    <w:p w14:paraId="4B9262F6" w14:textId="77777777" w:rsidR="00EC23BF" w:rsidRPr="00EC23BF" w:rsidRDefault="00EC23BF" w:rsidP="00EC23BF">
      <w:pPr>
        <w:widowControl w:val="0"/>
        <w:autoSpaceDE w:val="0"/>
        <w:autoSpaceDN w:val="0"/>
        <w:spacing w:after="120"/>
        <w:contextualSpacing/>
        <w:jc w:val="both"/>
        <w:rPr>
          <w:rFonts w:ascii="Arial" w:eastAsia="Arial" w:hAnsi="Arial" w:cs="Arial"/>
          <w:b/>
          <w:bCs/>
          <w:sz w:val="22"/>
          <w:szCs w:val="22"/>
          <w:lang w:val="en-GB"/>
        </w:rPr>
      </w:pPr>
      <w:r w:rsidRPr="00EC23BF">
        <w:rPr>
          <w:rFonts w:ascii="Arial" w:eastAsia="Arial" w:hAnsi="Arial" w:cs="Arial"/>
          <w:b/>
          <w:bCs/>
          <w:sz w:val="22"/>
          <w:szCs w:val="22"/>
          <w:lang w:val="en-GB"/>
        </w:rPr>
        <w:t>Essential readings</w:t>
      </w:r>
    </w:p>
    <w:p w14:paraId="49EB6609" w14:textId="77777777" w:rsidR="00EC23BF" w:rsidRPr="00EC23BF" w:rsidRDefault="00EC23BF" w:rsidP="00EC23BF">
      <w:pPr>
        <w:widowControl w:val="0"/>
        <w:autoSpaceDE w:val="0"/>
        <w:autoSpaceDN w:val="0"/>
        <w:spacing w:after="120" w:line="360" w:lineRule="auto"/>
        <w:ind w:left="360" w:hanging="360"/>
        <w:contextualSpacing/>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Reinert, K.A., 2020. An Introduction to International Economics. New Perspectives on the World Economy, 2nd ed. Cambridge University Press.</w:t>
      </w:r>
    </w:p>
    <w:p w14:paraId="66B64BF9" w14:textId="77777777" w:rsidR="00EC23BF" w:rsidRPr="00EC23BF" w:rsidRDefault="00EC23BF" w:rsidP="00EC23BF">
      <w:pPr>
        <w:widowControl w:val="0"/>
        <w:autoSpaceDE w:val="0"/>
        <w:autoSpaceDN w:val="0"/>
        <w:spacing w:after="120" w:line="360" w:lineRule="auto"/>
        <w:ind w:left="360" w:hanging="360"/>
        <w:contextualSpacing/>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lastRenderedPageBreak/>
        <w:t>Krugman, P. R., Obstfeld, M., 2006. International Economics: Theory and Policy. 6th ed.</w:t>
      </w:r>
    </w:p>
    <w:p w14:paraId="7A8D6E17" w14:textId="77777777" w:rsidR="00EC23BF" w:rsidRPr="00EC23BF" w:rsidRDefault="00EC23BF" w:rsidP="00EC23BF">
      <w:pPr>
        <w:widowControl w:val="0"/>
        <w:autoSpaceDE w:val="0"/>
        <w:autoSpaceDN w:val="0"/>
        <w:spacing w:after="120" w:line="360" w:lineRule="auto"/>
        <w:ind w:left="360"/>
        <w:contextualSpacing/>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Addison Wesley (or newer).</w:t>
      </w:r>
    </w:p>
    <w:p w14:paraId="1EC55202" w14:textId="77777777" w:rsidR="00EC23BF" w:rsidRPr="00EC23BF" w:rsidRDefault="00EC23BF" w:rsidP="00EC23BF">
      <w:pPr>
        <w:widowControl w:val="0"/>
        <w:autoSpaceDE w:val="0"/>
        <w:autoSpaceDN w:val="0"/>
        <w:spacing w:after="120" w:line="360" w:lineRule="auto"/>
        <w:ind w:left="360" w:hanging="360"/>
        <w:contextualSpacing/>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 xml:space="preserve">David Balaam, Bradford Dillman, 2014. Introduction to International Political Economy, 6th ed. Boston: Pearson </w:t>
      </w:r>
    </w:p>
    <w:p w14:paraId="12E7CE8D" w14:textId="77777777" w:rsidR="00EC23BF" w:rsidRPr="00EC23BF" w:rsidRDefault="00EC23BF" w:rsidP="00EC23BF">
      <w:pPr>
        <w:widowControl w:val="0"/>
        <w:autoSpaceDE w:val="0"/>
        <w:autoSpaceDN w:val="0"/>
        <w:spacing w:after="120"/>
        <w:contextualSpacing/>
        <w:jc w:val="both"/>
        <w:rPr>
          <w:rFonts w:ascii="Arial" w:eastAsia="Arial" w:hAnsi="Arial" w:cs="Arial"/>
          <w:b/>
          <w:bCs/>
          <w:sz w:val="22"/>
          <w:szCs w:val="22"/>
          <w:shd w:val="clear" w:color="auto" w:fill="FFFFFF"/>
          <w:lang w:val="en-GB"/>
        </w:rPr>
      </w:pPr>
      <w:r w:rsidRPr="00EC23BF">
        <w:rPr>
          <w:rFonts w:ascii="Arial" w:eastAsia="Arial" w:hAnsi="Arial" w:cs="Arial"/>
          <w:b/>
          <w:bCs/>
          <w:sz w:val="22"/>
          <w:szCs w:val="22"/>
          <w:shd w:val="clear" w:color="auto" w:fill="FFFFFF"/>
          <w:lang w:val="en-GB"/>
        </w:rPr>
        <w:t>Recommended Reading</w:t>
      </w:r>
    </w:p>
    <w:p w14:paraId="61EBB70F" w14:textId="77777777" w:rsidR="00EC23BF" w:rsidRPr="00EC23BF" w:rsidRDefault="00EC23BF" w:rsidP="00EC23BF">
      <w:pPr>
        <w:widowControl w:val="0"/>
        <w:autoSpaceDE w:val="0"/>
        <w:autoSpaceDN w:val="0"/>
        <w:spacing w:after="120"/>
        <w:contextualSpacing/>
        <w:jc w:val="both"/>
        <w:rPr>
          <w:rFonts w:ascii="Arial" w:eastAsia="Arial" w:hAnsi="Arial" w:cs="Arial"/>
          <w:sz w:val="22"/>
          <w:szCs w:val="22"/>
          <w:shd w:val="clear" w:color="auto" w:fill="FFFFFF"/>
          <w:lang w:val="en-GB"/>
        </w:rPr>
      </w:pPr>
      <w:r w:rsidRPr="00EC23BF">
        <w:rPr>
          <w:rFonts w:ascii="Arial" w:eastAsia="Arial" w:hAnsi="Arial" w:cs="Arial"/>
          <w:sz w:val="22"/>
          <w:szCs w:val="22"/>
          <w:shd w:val="clear" w:color="auto" w:fill="FFFFFF"/>
          <w:lang w:val="en-GB"/>
        </w:rPr>
        <w:t>Students are recommended to read periodicals that focus on economic topics as current events will serve as the backstory to topics covered in class.</w:t>
      </w:r>
    </w:p>
    <w:p w14:paraId="2ADAB15D" w14:textId="77777777" w:rsidR="00EC23BF" w:rsidRPr="00EC23BF" w:rsidRDefault="00EC23BF" w:rsidP="00EC23BF">
      <w:pPr>
        <w:widowControl w:val="0"/>
        <w:autoSpaceDE w:val="0"/>
        <w:autoSpaceDN w:val="0"/>
        <w:spacing w:after="120"/>
        <w:contextualSpacing/>
        <w:rPr>
          <w:rFonts w:ascii="Arial" w:eastAsia="Arial" w:hAnsi="Arial" w:cs="Arial"/>
          <w:sz w:val="22"/>
          <w:szCs w:val="22"/>
          <w:lang w:val="en-GB"/>
        </w:rPr>
      </w:pPr>
    </w:p>
    <w:p w14:paraId="5887E676" w14:textId="77777777" w:rsidR="00BC319D" w:rsidRDefault="00BC319D"/>
    <w:sectPr w:rsidR="00BC319D" w:rsidSect="00EC23BF">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EAD2" w14:textId="77777777" w:rsidR="009E351A" w:rsidRDefault="009E351A" w:rsidP="00EC23BF">
      <w:r>
        <w:separator/>
      </w:r>
    </w:p>
  </w:endnote>
  <w:endnote w:type="continuationSeparator" w:id="0">
    <w:p w14:paraId="33713A28" w14:textId="77777777" w:rsidR="009E351A" w:rsidRDefault="009E351A" w:rsidP="00EC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F698" w14:textId="77777777" w:rsidR="009E351A" w:rsidRDefault="009E351A" w:rsidP="00EC23BF">
      <w:r>
        <w:separator/>
      </w:r>
    </w:p>
  </w:footnote>
  <w:footnote w:type="continuationSeparator" w:id="0">
    <w:p w14:paraId="4C1D20ED" w14:textId="77777777" w:rsidR="009E351A" w:rsidRDefault="009E351A" w:rsidP="00EC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BC0"/>
    <w:multiLevelType w:val="hybridMultilevel"/>
    <w:tmpl w:val="CBB8E0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E5411"/>
    <w:multiLevelType w:val="hybridMultilevel"/>
    <w:tmpl w:val="9D402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251F4"/>
    <w:multiLevelType w:val="hybridMultilevel"/>
    <w:tmpl w:val="87FA21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81637">
    <w:abstractNumId w:val="2"/>
  </w:num>
  <w:num w:numId="2" w16cid:durableId="1768690067">
    <w:abstractNumId w:val="1"/>
  </w:num>
  <w:num w:numId="3" w16cid:durableId="167483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BF"/>
    <w:rsid w:val="002F545A"/>
    <w:rsid w:val="00605D61"/>
    <w:rsid w:val="009E351A"/>
    <w:rsid w:val="00A0510C"/>
    <w:rsid w:val="00BC319D"/>
    <w:rsid w:val="00C64B42"/>
    <w:rsid w:val="00EC23BF"/>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266914C5"/>
  <w15:chartTrackingRefBased/>
  <w15:docId w15:val="{1ECF9356-A6A4-6447-BAC6-9FCF2FEE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3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3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3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3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3BF"/>
    <w:rPr>
      <w:rFonts w:eastAsiaTheme="majorEastAsia" w:cstheme="majorBidi"/>
      <w:color w:val="272727" w:themeColor="text1" w:themeTint="D8"/>
    </w:rPr>
  </w:style>
  <w:style w:type="paragraph" w:styleId="Title">
    <w:name w:val="Title"/>
    <w:basedOn w:val="Normal"/>
    <w:next w:val="Normal"/>
    <w:link w:val="TitleChar"/>
    <w:uiPriority w:val="10"/>
    <w:qFormat/>
    <w:rsid w:val="00EC23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3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3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3BF"/>
    <w:rPr>
      <w:i/>
      <w:iCs/>
      <w:color w:val="404040" w:themeColor="text1" w:themeTint="BF"/>
    </w:rPr>
  </w:style>
  <w:style w:type="paragraph" w:styleId="ListParagraph">
    <w:name w:val="List Paragraph"/>
    <w:basedOn w:val="Normal"/>
    <w:uiPriority w:val="34"/>
    <w:qFormat/>
    <w:rsid w:val="00EC23BF"/>
    <w:pPr>
      <w:ind w:left="720"/>
      <w:contextualSpacing/>
    </w:pPr>
  </w:style>
  <w:style w:type="character" w:styleId="IntenseEmphasis">
    <w:name w:val="Intense Emphasis"/>
    <w:basedOn w:val="DefaultParagraphFont"/>
    <w:uiPriority w:val="21"/>
    <w:qFormat/>
    <w:rsid w:val="00EC23BF"/>
    <w:rPr>
      <w:i/>
      <w:iCs/>
      <w:color w:val="0F4761" w:themeColor="accent1" w:themeShade="BF"/>
    </w:rPr>
  </w:style>
  <w:style w:type="paragraph" w:styleId="IntenseQuote">
    <w:name w:val="Intense Quote"/>
    <w:basedOn w:val="Normal"/>
    <w:next w:val="Normal"/>
    <w:link w:val="IntenseQuoteChar"/>
    <w:uiPriority w:val="30"/>
    <w:qFormat/>
    <w:rsid w:val="00EC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3BF"/>
    <w:rPr>
      <w:i/>
      <w:iCs/>
      <w:color w:val="0F4761" w:themeColor="accent1" w:themeShade="BF"/>
    </w:rPr>
  </w:style>
  <w:style w:type="character" w:styleId="IntenseReference">
    <w:name w:val="Intense Reference"/>
    <w:basedOn w:val="DefaultParagraphFont"/>
    <w:uiPriority w:val="32"/>
    <w:qFormat/>
    <w:rsid w:val="00EC23BF"/>
    <w:rPr>
      <w:b/>
      <w:bCs/>
      <w:smallCaps/>
      <w:color w:val="0F4761" w:themeColor="accent1" w:themeShade="BF"/>
      <w:spacing w:val="5"/>
    </w:rPr>
  </w:style>
  <w:style w:type="paragraph" w:styleId="Header">
    <w:name w:val="header"/>
    <w:basedOn w:val="Normal"/>
    <w:link w:val="HeaderChar"/>
    <w:uiPriority w:val="99"/>
    <w:unhideWhenUsed/>
    <w:rsid w:val="00EC23BF"/>
    <w:pPr>
      <w:tabs>
        <w:tab w:val="center" w:pos="4513"/>
        <w:tab w:val="right" w:pos="9026"/>
      </w:tabs>
    </w:pPr>
  </w:style>
  <w:style w:type="character" w:customStyle="1" w:styleId="HeaderChar">
    <w:name w:val="Header Char"/>
    <w:basedOn w:val="DefaultParagraphFont"/>
    <w:link w:val="Header"/>
    <w:uiPriority w:val="99"/>
    <w:rsid w:val="00EC23BF"/>
  </w:style>
  <w:style w:type="table" w:customStyle="1" w:styleId="TableGridLight1">
    <w:name w:val="Table Grid Light1"/>
    <w:basedOn w:val="TableNormal"/>
    <w:next w:val="TableGridLight"/>
    <w:uiPriority w:val="40"/>
    <w:rsid w:val="00EC23BF"/>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EC23B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EC23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C23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EC23BF"/>
    <w:pPr>
      <w:tabs>
        <w:tab w:val="center" w:pos="4513"/>
        <w:tab w:val="right" w:pos="9026"/>
      </w:tabs>
    </w:pPr>
  </w:style>
  <w:style w:type="character" w:customStyle="1" w:styleId="FooterChar">
    <w:name w:val="Footer Char"/>
    <w:basedOn w:val="DefaultParagraphFont"/>
    <w:link w:val="Footer"/>
    <w:uiPriority w:val="99"/>
    <w:rsid w:val="00EC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2025-08-22T13:29:00Z</dcterms:created>
  <dcterms:modified xsi:type="dcterms:W3CDTF">2025-08-22T13:31:00Z</dcterms:modified>
</cp:coreProperties>
</file>