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59BB" w14:textId="77777777" w:rsidR="00181BC1" w:rsidRPr="00B12AD7" w:rsidRDefault="00181BC1" w:rsidP="00181BC1">
      <w:pPr>
        <w:pStyle w:val="Heading2"/>
        <w:spacing w:line="276" w:lineRule="auto"/>
        <w:jc w:val="both"/>
        <w:rPr>
          <w:rFonts w:ascii="DINCE-Regular" w:hAnsi="DINCE-Regular"/>
          <w:color w:val="404040" w:themeColor="text1" w:themeTint="BF"/>
          <w:kern w:val="36"/>
          <w:lang w:val="en-GB" w:eastAsia="en-GB"/>
        </w:rPr>
      </w:pPr>
      <w:bookmarkStart w:id="0" w:name="_Toc179189716"/>
      <w:r w:rsidRPr="00B12AD7">
        <w:rPr>
          <w:rFonts w:ascii="DINCE-Regular" w:hAnsi="DINCE-Regular"/>
          <w:color w:val="404040" w:themeColor="text1" w:themeTint="BF"/>
          <w:kern w:val="36"/>
          <w:lang w:val="en-GB" w:eastAsia="en-GB"/>
        </w:rPr>
        <w:t>INTERCULTURAL COMMUNICATION</w:t>
      </w:r>
      <w:bookmarkEnd w:id="0"/>
    </w:p>
    <w:p w14:paraId="5541391E" w14:textId="77777777" w:rsidR="00181BC1" w:rsidRPr="00B12AD7" w:rsidRDefault="00181BC1" w:rsidP="00181BC1">
      <w:pPr>
        <w:pStyle w:val="Heading3"/>
        <w:spacing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1. MODULE SUMMARY</w:t>
      </w:r>
    </w:p>
    <w:p w14:paraId="42391A1A"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Aims and Summary</w:t>
      </w:r>
    </w:p>
    <w:p w14:paraId="23AB27FF" w14:textId="77777777" w:rsidR="00181BC1" w:rsidRPr="00B12AD7" w:rsidRDefault="00181BC1" w:rsidP="00181BC1">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In the context of globalization, migration, corporate business management, international affairs and social conflicts, the aim of the module is to provide students with necessary tools which would help them to approach multi-cultural environments. Aiming to enforce cultural sensitivity students will be trained how to avoid cultural prejudices, preconceptions and oversimplifications.</w:t>
      </w:r>
    </w:p>
    <w:p w14:paraId="782A1F3A" w14:textId="77777777" w:rsidR="00181BC1" w:rsidRPr="00B12AD7" w:rsidRDefault="00181BC1" w:rsidP="00181BC1">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module has a multidisciplinary approach combining different theories taken from various spheres such as anthropology, sociology, communication studies, linguistics, etc.  It incorporates information on history of communication, looks upon the notion of symbol, myth, cultural code and proceeds to the practical techniques of assessing different forms of productions of contemporary multicultural media.</w:t>
      </w:r>
    </w:p>
    <w:p w14:paraId="02FCD9C1" w14:textId="77777777" w:rsidR="00181BC1" w:rsidRPr="00B12AD7" w:rsidRDefault="00181BC1" w:rsidP="00181BC1">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181BC1" w:rsidRPr="00B12AD7" w14:paraId="37968BF2" w14:textId="77777777" w:rsidTr="00FE71EB">
        <w:trPr>
          <w:trHeight w:val="432"/>
          <w:tblCellSpacing w:w="15" w:type="dxa"/>
        </w:trPr>
        <w:tc>
          <w:tcPr>
            <w:tcW w:w="0" w:type="auto"/>
            <w:tcMar>
              <w:top w:w="15" w:type="dxa"/>
              <w:left w:w="480" w:type="dxa"/>
              <w:bottom w:w="15" w:type="dxa"/>
              <w:right w:w="240" w:type="dxa"/>
            </w:tcMar>
            <w:vAlign w:val="center"/>
          </w:tcPr>
          <w:p w14:paraId="6F34DDB8"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ECTS credits</w:t>
            </w:r>
          </w:p>
        </w:tc>
        <w:tc>
          <w:tcPr>
            <w:tcW w:w="0" w:type="auto"/>
            <w:vAlign w:val="center"/>
          </w:tcPr>
          <w:p w14:paraId="5A2AD0BB"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5.0</w:t>
            </w:r>
          </w:p>
        </w:tc>
      </w:tr>
      <w:tr w:rsidR="00181BC1" w:rsidRPr="00B12AD7" w14:paraId="33B7E6B5" w14:textId="77777777" w:rsidTr="00FE71EB">
        <w:trPr>
          <w:trHeight w:val="432"/>
          <w:tblCellSpacing w:w="15" w:type="dxa"/>
        </w:trPr>
        <w:tc>
          <w:tcPr>
            <w:tcW w:w="0" w:type="auto"/>
            <w:tcMar>
              <w:top w:w="15" w:type="dxa"/>
              <w:left w:w="480" w:type="dxa"/>
              <w:bottom w:w="15" w:type="dxa"/>
              <w:right w:w="240" w:type="dxa"/>
            </w:tcMar>
            <w:vAlign w:val="center"/>
          </w:tcPr>
          <w:p w14:paraId="25839FFA"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Total student study hours</w:t>
            </w:r>
          </w:p>
        </w:tc>
        <w:tc>
          <w:tcPr>
            <w:tcW w:w="0" w:type="auto"/>
            <w:vAlign w:val="center"/>
          </w:tcPr>
          <w:p w14:paraId="459D0439"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100</w:t>
            </w:r>
          </w:p>
        </w:tc>
      </w:tr>
      <w:tr w:rsidR="00181BC1" w:rsidRPr="00B12AD7" w14:paraId="74AD0CA8" w14:textId="77777777" w:rsidTr="00FE71EB">
        <w:trPr>
          <w:trHeight w:val="432"/>
          <w:tblCellSpacing w:w="15" w:type="dxa"/>
        </w:trPr>
        <w:tc>
          <w:tcPr>
            <w:tcW w:w="0" w:type="auto"/>
            <w:tcMar>
              <w:top w:w="15" w:type="dxa"/>
              <w:left w:w="480" w:type="dxa"/>
              <w:bottom w:w="15" w:type="dxa"/>
              <w:right w:w="240" w:type="dxa"/>
            </w:tcMar>
            <w:vAlign w:val="center"/>
          </w:tcPr>
          <w:p w14:paraId="311A8C17"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Number of weeks</w:t>
            </w:r>
          </w:p>
        </w:tc>
        <w:tc>
          <w:tcPr>
            <w:tcW w:w="0" w:type="auto"/>
            <w:vAlign w:val="center"/>
          </w:tcPr>
          <w:p w14:paraId="627D1C21"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12</w:t>
            </w:r>
          </w:p>
        </w:tc>
      </w:tr>
      <w:tr w:rsidR="00181BC1" w:rsidRPr="00B12AD7" w14:paraId="07C6CB1D" w14:textId="77777777" w:rsidTr="00FE71EB">
        <w:trPr>
          <w:trHeight w:val="432"/>
          <w:tblCellSpacing w:w="15" w:type="dxa"/>
        </w:trPr>
        <w:tc>
          <w:tcPr>
            <w:tcW w:w="0" w:type="auto"/>
            <w:tcMar>
              <w:top w:w="15" w:type="dxa"/>
              <w:left w:w="480" w:type="dxa"/>
              <w:bottom w:w="15" w:type="dxa"/>
              <w:right w:w="240" w:type="dxa"/>
            </w:tcMar>
            <w:vAlign w:val="center"/>
          </w:tcPr>
          <w:p w14:paraId="2DCB6DBC"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School responsible</w:t>
            </w:r>
          </w:p>
        </w:tc>
        <w:tc>
          <w:tcPr>
            <w:tcW w:w="0" w:type="auto"/>
            <w:vAlign w:val="center"/>
          </w:tcPr>
          <w:p w14:paraId="703DA3EE"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proofErr w:type="spellStart"/>
            <w:r w:rsidRPr="00B12AD7">
              <w:rPr>
                <w:rFonts w:ascii="DINCE-Regular" w:hAnsi="DINCE-Regular"/>
                <w:color w:val="404040" w:themeColor="text1" w:themeTint="BF"/>
                <w:sz w:val="22"/>
                <w:szCs w:val="22"/>
                <w:lang w:val="en-GB"/>
              </w:rPr>
              <w:t>Łazarski</w:t>
            </w:r>
            <w:proofErr w:type="spellEnd"/>
            <w:r w:rsidRPr="00B12AD7">
              <w:rPr>
                <w:rFonts w:ascii="DINCE-Regular" w:hAnsi="DINCE-Regular"/>
                <w:color w:val="404040" w:themeColor="text1" w:themeTint="BF"/>
                <w:sz w:val="22"/>
                <w:szCs w:val="22"/>
                <w:lang w:val="en-GB"/>
              </w:rPr>
              <w:t xml:space="preserve"> University, Faculty of Economics and Management</w:t>
            </w:r>
          </w:p>
        </w:tc>
      </w:tr>
    </w:tbl>
    <w:p w14:paraId="2DA0B66C"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Entry Requirements (pre-requisites and co-requisites)</w:t>
      </w:r>
    </w:p>
    <w:p w14:paraId="09830C8D" w14:textId="77777777" w:rsidR="00181BC1" w:rsidRPr="00B12AD7" w:rsidRDefault="00181BC1" w:rsidP="00181BC1">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color w:val="404040" w:themeColor="text1" w:themeTint="BF"/>
          <w:sz w:val="22"/>
          <w:szCs w:val="22"/>
          <w:lang w:val="en-GB"/>
        </w:rPr>
        <w:t>N/A</w:t>
      </w:r>
    </w:p>
    <w:p w14:paraId="0385435C"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Excluded Combinations</w:t>
      </w:r>
    </w:p>
    <w:p w14:paraId="2A75D480" w14:textId="77777777" w:rsidR="00181BC1" w:rsidRPr="00B12AD7" w:rsidRDefault="00181BC1" w:rsidP="00181BC1">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0565EF32"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 xml:space="preserve">Composition of module mark (including weighting of components) </w:t>
      </w:r>
    </w:p>
    <w:p w14:paraId="32960996"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Coursework 60%, composed of an essay</w:t>
      </w:r>
    </w:p>
    <w:p w14:paraId="40FA90B7" w14:textId="77777777" w:rsidR="00181BC1" w:rsidRPr="00B12AD7" w:rsidRDefault="00181BC1" w:rsidP="00181BC1">
      <w:pPr>
        <w:shd w:val="clear" w:color="auto" w:fill="FFFFFF"/>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color w:val="404040" w:themeColor="text1" w:themeTint="BF"/>
          <w:sz w:val="22"/>
          <w:szCs w:val="22"/>
          <w:lang w:val="en-GB"/>
        </w:rPr>
        <w:t>Final exam: 40%</w:t>
      </w:r>
    </w:p>
    <w:p w14:paraId="678E926C" w14:textId="77777777" w:rsidR="00181BC1" w:rsidRPr="00B12AD7" w:rsidRDefault="00181BC1" w:rsidP="00181BC1">
      <w:pPr>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Pass requirements</w:t>
      </w:r>
    </w:p>
    <w:p w14:paraId="6394202F" w14:textId="77777777" w:rsidR="00181BC1" w:rsidRPr="00B12AD7" w:rsidRDefault="00181BC1" w:rsidP="00181BC1">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To pass the course a student must score at least 40% of the overall weighted average and not less than 35% for each assessment component (i.e. final exam and coursework). Re-assessment: coursework component(s) and/or examination as appropriate. </w:t>
      </w:r>
    </w:p>
    <w:p w14:paraId="44A39AF1"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Special Features</w:t>
      </w:r>
    </w:p>
    <w:p w14:paraId="537BF0A8" w14:textId="77777777" w:rsidR="00181BC1" w:rsidRPr="00B12AD7" w:rsidRDefault="00181BC1" w:rsidP="00181BC1">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54CC4674"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mandatory</w:t>
      </w:r>
    </w:p>
    <w:p w14:paraId="3BB7BFC9" w14:textId="77777777" w:rsidR="00181BC1" w:rsidRPr="00B12AD7" w:rsidRDefault="00181BC1" w:rsidP="00181BC1">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color w:val="404040" w:themeColor="text1" w:themeTint="BF"/>
          <w:sz w:val="22"/>
          <w:szCs w:val="22"/>
          <w:lang w:val="en-GB"/>
        </w:rPr>
        <w:t>BA Year 3 International Relations (level 6)</w:t>
      </w:r>
    </w:p>
    <w:p w14:paraId="13454E3A"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a core option</w:t>
      </w:r>
    </w:p>
    <w:p w14:paraId="64D6B021" w14:textId="77777777" w:rsidR="00181BC1" w:rsidRPr="00B12AD7" w:rsidRDefault="00181BC1" w:rsidP="00181BC1">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1B2FD083" w14:textId="77777777" w:rsidR="00181BC1" w:rsidRPr="00B12AD7" w:rsidRDefault="00181BC1" w:rsidP="00181BC1">
      <w:pPr>
        <w:pStyle w:val="Heading3"/>
        <w:spacing w:line="276" w:lineRule="auto"/>
        <w:jc w:val="both"/>
        <w:rPr>
          <w:rFonts w:ascii="DINCE-Regular" w:hAnsi="DINCE-Regular" w:cs="Times New Roman"/>
          <w:color w:val="404040" w:themeColor="text1" w:themeTint="BF"/>
          <w:sz w:val="22"/>
          <w:szCs w:val="22"/>
          <w:lang w:val="en-GB"/>
        </w:rPr>
      </w:pPr>
      <w:r w:rsidRPr="00B12AD7">
        <w:rPr>
          <w:rFonts w:ascii="DINCE-Regular" w:hAnsi="DINCE-Regular" w:cs="Times New Roman"/>
          <w:color w:val="404040" w:themeColor="text1" w:themeTint="BF"/>
          <w:sz w:val="22"/>
          <w:szCs w:val="22"/>
          <w:lang w:val="en-GB"/>
        </w:rPr>
        <w:t>2. TEACHING, LEARNING AND ASSESSMENT</w:t>
      </w:r>
    </w:p>
    <w:p w14:paraId="145EE1FF"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Intended Module Learning Outcomes</w:t>
      </w:r>
    </w:p>
    <w:p w14:paraId="1710B427" w14:textId="77777777" w:rsidR="00181BC1" w:rsidRPr="00B12AD7" w:rsidRDefault="00181BC1" w:rsidP="00181BC1">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lastRenderedPageBreak/>
        <w:t>By the end of the course students should be able to:</w:t>
      </w:r>
    </w:p>
    <w:p w14:paraId="76DBFEB4" w14:textId="77777777" w:rsidR="00181BC1" w:rsidRPr="00B12AD7" w:rsidRDefault="00181BC1" w:rsidP="00181BC1">
      <w:pPr>
        <w:pStyle w:val="Akapitzlist1"/>
        <w:widowControl/>
        <w:numPr>
          <w:ilvl w:val="0"/>
          <w:numId w:val="2"/>
        </w:numPr>
        <w:tabs>
          <w:tab w:val="left" w:pos="709"/>
        </w:tabs>
        <w:spacing w:after="0"/>
        <w:ind w:left="709"/>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Apply basic intercultural skills.</w:t>
      </w:r>
    </w:p>
    <w:p w14:paraId="70C7249E" w14:textId="77777777" w:rsidR="00181BC1" w:rsidRPr="00B12AD7" w:rsidRDefault="00181BC1" w:rsidP="00181BC1">
      <w:pPr>
        <w:pStyle w:val="Akapitzlist1"/>
        <w:widowControl/>
        <w:numPr>
          <w:ilvl w:val="0"/>
          <w:numId w:val="2"/>
        </w:numPr>
        <w:tabs>
          <w:tab w:val="left" w:pos="709"/>
        </w:tabs>
        <w:spacing w:after="0"/>
        <w:ind w:left="709"/>
        <w:jc w:val="both"/>
        <w:rPr>
          <w:rFonts w:ascii="DINCE-Regular" w:hAnsi="DINCE-Regular" w:cs="Times New Roman"/>
          <w:color w:val="404040" w:themeColor="text1" w:themeTint="BF"/>
          <w:lang w:val="en-GB"/>
        </w:rPr>
      </w:pPr>
      <w:proofErr w:type="spellStart"/>
      <w:r w:rsidRPr="00B12AD7">
        <w:rPr>
          <w:rFonts w:ascii="DINCE-Regular" w:hAnsi="DINCE-Regular" w:cs="Times New Roman"/>
          <w:color w:val="404040" w:themeColor="text1" w:themeTint="BF"/>
          <w:lang w:val="en-GB"/>
        </w:rPr>
        <w:t>Analyze</w:t>
      </w:r>
      <w:proofErr w:type="spellEnd"/>
      <w:r w:rsidRPr="00B12AD7">
        <w:rPr>
          <w:rFonts w:ascii="DINCE-Regular" w:hAnsi="DINCE-Regular" w:cs="Times New Roman"/>
          <w:color w:val="404040" w:themeColor="text1" w:themeTint="BF"/>
          <w:lang w:val="en-GB"/>
        </w:rPr>
        <w:t xml:space="preserve"> barriers to intercultural communication. </w:t>
      </w:r>
    </w:p>
    <w:p w14:paraId="22D4AA86" w14:textId="77777777" w:rsidR="00181BC1" w:rsidRPr="00B12AD7" w:rsidRDefault="00181BC1" w:rsidP="00181BC1">
      <w:pPr>
        <w:pStyle w:val="Akapitzlist1"/>
        <w:widowControl/>
        <w:numPr>
          <w:ilvl w:val="0"/>
          <w:numId w:val="2"/>
        </w:numPr>
        <w:tabs>
          <w:tab w:val="left" w:pos="709"/>
        </w:tabs>
        <w:spacing w:after="0"/>
        <w:ind w:left="709"/>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 xml:space="preserve">Demonstrate an understanding of culturally conditioned </w:t>
      </w:r>
      <w:proofErr w:type="spellStart"/>
      <w:r w:rsidRPr="00B12AD7">
        <w:rPr>
          <w:rFonts w:ascii="DINCE-Regular" w:hAnsi="DINCE-Regular" w:cs="Times New Roman"/>
          <w:color w:val="404040" w:themeColor="text1" w:themeTint="BF"/>
          <w:lang w:val="en-GB"/>
        </w:rPr>
        <w:t>behavior</w:t>
      </w:r>
      <w:proofErr w:type="spellEnd"/>
      <w:r w:rsidRPr="00B12AD7">
        <w:rPr>
          <w:rFonts w:ascii="DINCE-Regular" w:hAnsi="DINCE-Regular" w:cs="Times New Roman"/>
          <w:color w:val="404040" w:themeColor="text1" w:themeTint="BF"/>
          <w:lang w:val="en-GB"/>
        </w:rPr>
        <w:t xml:space="preserve"> in different contexts including negotiation, ethnic conflict, family life etc.</w:t>
      </w:r>
    </w:p>
    <w:p w14:paraId="539EAA86" w14:textId="77777777" w:rsidR="00181BC1" w:rsidRPr="00B12AD7" w:rsidRDefault="00181BC1" w:rsidP="00181BC1">
      <w:pPr>
        <w:pStyle w:val="Akapitzlist1"/>
        <w:widowControl/>
        <w:numPr>
          <w:ilvl w:val="0"/>
          <w:numId w:val="2"/>
        </w:numPr>
        <w:tabs>
          <w:tab w:val="left" w:pos="709"/>
        </w:tabs>
        <w:spacing w:after="0"/>
        <w:ind w:left="709"/>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Explain the dynamics of ethnocentrism, stereotyping and prejudice.</w:t>
      </w:r>
    </w:p>
    <w:p w14:paraId="0900BA57" w14:textId="77777777" w:rsidR="00181BC1" w:rsidRPr="00B12AD7" w:rsidRDefault="00181BC1" w:rsidP="00181BC1">
      <w:pPr>
        <w:shd w:val="clear" w:color="auto" w:fill="FFFFFF"/>
        <w:spacing w:line="276" w:lineRule="auto"/>
        <w:jc w:val="both"/>
        <w:rPr>
          <w:rFonts w:ascii="DINCE-Regular" w:hAnsi="DINCE-Regular"/>
          <w:bCs/>
          <w:color w:val="404040" w:themeColor="text1" w:themeTint="BF"/>
          <w:sz w:val="22"/>
          <w:szCs w:val="22"/>
          <w:lang w:val="en-GB"/>
        </w:rPr>
      </w:pPr>
      <w:r w:rsidRPr="00B12AD7">
        <w:rPr>
          <w:rFonts w:ascii="DINCE-Regular" w:hAnsi="DINCE-Regular"/>
          <w:b/>
          <w:bCs/>
          <w:color w:val="404040" w:themeColor="text1" w:themeTint="BF"/>
          <w:sz w:val="22"/>
          <w:szCs w:val="22"/>
          <w:lang w:val="en-GB" w:eastAsia="en-GB"/>
        </w:rPr>
        <w:t>Indicative Content</w:t>
      </w:r>
    </w:p>
    <w:p w14:paraId="7BF93F0B"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Introduction: How we communicate? Communication skills and their influence? What are the media? Problematic messages.</w:t>
      </w:r>
    </w:p>
    <w:p w14:paraId="23F485FB"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The evolution of language and thought</w:t>
      </w:r>
    </w:p>
    <w:p w14:paraId="76C4A0C2"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The history of communication: the value of knowledge</w:t>
      </w:r>
    </w:p>
    <w:p w14:paraId="7058239E"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Approaches and theories of communication (</w:t>
      </w:r>
      <w:proofErr w:type="spellStart"/>
      <w:r w:rsidRPr="00B12AD7">
        <w:rPr>
          <w:rFonts w:ascii="DINCE-Regular" w:hAnsi="DINCE-Regular"/>
          <w:bCs/>
          <w:color w:val="404040" w:themeColor="text1" w:themeTint="BF"/>
          <w:sz w:val="22"/>
          <w:szCs w:val="22"/>
        </w:rPr>
        <w:t>behavioral</w:t>
      </w:r>
      <w:proofErr w:type="spellEnd"/>
      <w:r w:rsidRPr="00B12AD7">
        <w:rPr>
          <w:rFonts w:ascii="DINCE-Regular" w:hAnsi="DINCE-Regular"/>
          <w:bCs/>
          <w:color w:val="404040" w:themeColor="text1" w:themeTint="BF"/>
          <w:sz w:val="22"/>
          <w:szCs w:val="22"/>
        </w:rPr>
        <w:t xml:space="preserve">, political economy, cultural, interdisciplinary). </w:t>
      </w:r>
      <w:proofErr w:type="spellStart"/>
      <w:r w:rsidRPr="00B12AD7">
        <w:rPr>
          <w:rFonts w:ascii="DINCE-Regular" w:hAnsi="DINCE-Regular"/>
          <w:bCs/>
          <w:color w:val="404040" w:themeColor="text1" w:themeTint="BF"/>
          <w:sz w:val="22"/>
          <w:szCs w:val="22"/>
        </w:rPr>
        <w:t>Behavioral</w:t>
      </w:r>
      <w:proofErr w:type="spellEnd"/>
      <w:r w:rsidRPr="00B12AD7">
        <w:rPr>
          <w:rFonts w:ascii="DINCE-Regular" w:hAnsi="DINCE-Regular"/>
          <w:bCs/>
          <w:color w:val="404040" w:themeColor="text1" w:themeTint="BF"/>
          <w:sz w:val="22"/>
          <w:szCs w:val="22"/>
        </w:rPr>
        <w:t xml:space="preserve"> approach</w:t>
      </w:r>
    </w:p>
    <w:p w14:paraId="005B48E2"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Political Economy approach</w:t>
      </w:r>
    </w:p>
    <w:p w14:paraId="4907A98B"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Culture shock, intercultural competence, globalization issues</w:t>
      </w:r>
    </w:p>
    <w:p w14:paraId="4600101D"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Cultural/Linguistic Approach</w:t>
      </w:r>
    </w:p>
    <w:p w14:paraId="0B770FDD"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Semiotics</w:t>
      </w:r>
    </w:p>
    <w:p w14:paraId="71A85744"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 xml:space="preserve">Semiotics: using semiotics to </w:t>
      </w:r>
      <w:proofErr w:type="spellStart"/>
      <w:r w:rsidRPr="00B12AD7">
        <w:rPr>
          <w:rFonts w:ascii="DINCE-Regular" w:hAnsi="DINCE-Regular"/>
          <w:bCs/>
          <w:color w:val="404040" w:themeColor="text1" w:themeTint="BF"/>
          <w:sz w:val="22"/>
          <w:szCs w:val="22"/>
        </w:rPr>
        <w:t>analyze</w:t>
      </w:r>
      <w:proofErr w:type="spellEnd"/>
      <w:r w:rsidRPr="00B12AD7">
        <w:rPr>
          <w:rFonts w:ascii="DINCE-Regular" w:hAnsi="DINCE-Regular"/>
          <w:bCs/>
          <w:color w:val="404040" w:themeColor="text1" w:themeTint="BF"/>
          <w:sz w:val="22"/>
          <w:szCs w:val="22"/>
        </w:rPr>
        <w:t xml:space="preserve"> text and images</w:t>
      </w:r>
    </w:p>
    <w:p w14:paraId="6228BE91"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Deconstructing messages through individual signs (</w:t>
      </w:r>
      <w:proofErr w:type="spellStart"/>
      <w:r w:rsidRPr="00B12AD7">
        <w:rPr>
          <w:rFonts w:ascii="DINCE-Regular" w:hAnsi="DINCE-Regular"/>
          <w:bCs/>
          <w:color w:val="404040" w:themeColor="text1" w:themeTint="BF"/>
          <w:sz w:val="22"/>
          <w:szCs w:val="22"/>
        </w:rPr>
        <w:t>colors</w:t>
      </w:r>
      <w:proofErr w:type="spellEnd"/>
      <w:r w:rsidRPr="00B12AD7">
        <w:rPr>
          <w:rFonts w:ascii="DINCE-Regular" w:hAnsi="DINCE-Regular"/>
          <w:bCs/>
          <w:color w:val="404040" w:themeColor="text1" w:themeTint="BF"/>
          <w:sz w:val="22"/>
          <w:szCs w:val="22"/>
        </w:rPr>
        <w:t>, shapes, symbols, icons, etc.)</w:t>
      </w:r>
    </w:p>
    <w:p w14:paraId="5023AC0C"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Visual as influenced by culture and aims. How politicians, journalists and PR managers provide and sell information</w:t>
      </w:r>
    </w:p>
    <w:p w14:paraId="038C2D5E" w14:textId="77777777" w:rsidR="00181BC1" w:rsidRPr="00B12AD7" w:rsidRDefault="00181BC1" w:rsidP="00181BC1">
      <w:pPr>
        <w:pStyle w:val="ListParagraph1"/>
        <w:numPr>
          <w:ilvl w:val="0"/>
          <w:numId w:val="1"/>
        </w:numPr>
        <w:tabs>
          <w:tab w:val="clear" w:pos="720"/>
          <w:tab w:val="num" w:pos="0"/>
        </w:tabs>
        <w:spacing w:line="276" w:lineRule="auto"/>
        <w:jc w:val="both"/>
        <w:rPr>
          <w:rFonts w:ascii="DINCE-Regular" w:hAnsi="DINCE-Regular"/>
          <w:bCs/>
          <w:color w:val="404040" w:themeColor="text1" w:themeTint="BF"/>
          <w:sz w:val="22"/>
          <w:szCs w:val="22"/>
        </w:rPr>
      </w:pPr>
      <w:r w:rsidRPr="00B12AD7">
        <w:rPr>
          <w:rFonts w:ascii="DINCE-Regular" w:hAnsi="DINCE-Regular"/>
          <w:bCs/>
          <w:color w:val="404040" w:themeColor="text1" w:themeTint="BF"/>
          <w:sz w:val="22"/>
          <w:szCs w:val="22"/>
        </w:rPr>
        <w:t>History of Film and film technologies. Summary</w:t>
      </w:r>
    </w:p>
    <w:p w14:paraId="33B51CEE"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Teaching and Learning</w:t>
      </w:r>
    </w:p>
    <w:p w14:paraId="4623AFA0"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This module will be taught by means of seminars, workshops, and self-directed study.</w:t>
      </w:r>
    </w:p>
    <w:p w14:paraId="62156CCF"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Formative Assessment: Comments will be given on assessments, and tutorial guidance will be provided for coursework and exam.</w:t>
      </w:r>
    </w:p>
    <w:p w14:paraId="6AFC1950"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620"/>
      </w:tblGrid>
      <w:tr w:rsidR="00181BC1" w:rsidRPr="00B12AD7" w14:paraId="131A7845" w14:textId="77777777" w:rsidTr="00FE71EB">
        <w:trPr>
          <w:trHeight w:val="432"/>
          <w:tblCellSpacing w:w="15" w:type="dxa"/>
        </w:trPr>
        <w:tc>
          <w:tcPr>
            <w:tcW w:w="0" w:type="auto"/>
            <w:tcMar>
              <w:top w:w="15" w:type="dxa"/>
              <w:left w:w="480" w:type="dxa"/>
              <w:bottom w:w="15" w:type="dxa"/>
              <w:right w:w="240" w:type="dxa"/>
            </w:tcMar>
            <w:vAlign w:val="center"/>
          </w:tcPr>
          <w:p w14:paraId="64640347"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Guided</w:t>
            </w:r>
          </w:p>
        </w:tc>
        <w:tc>
          <w:tcPr>
            <w:tcW w:w="0" w:type="auto"/>
            <w:vAlign w:val="center"/>
          </w:tcPr>
          <w:p w14:paraId="6BDEA650"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 hours</w:t>
            </w:r>
          </w:p>
        </w:tc>
        <w:tc>
          <w:tcPr>
            <w:tcW w:w="0" w:type="auto"/>
            <w:vAlign w:val="center"/>
          </w:tcPr>
          <w:p w14:paraId="579F3E00"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w:t>
            </w:r>
          </w:p>
        </w:tc>
      </w:tr>
      <w:tr w:rsidR="00181BC1" w:rsidRPr="00B12AD7" w14:paraId="54A13076" w14:textId="77777777" w:rsidTr="00FE71EB">
        <w:trPr>
          <w:trHeight w:val="432"/>
          <w:tblCellSpacing w:w="15" w:type="dxa"/>
        </w:trPr>
        <w:tc>
          <w:tcPr>
            <w:tcW w:w="0" w:type="auto"/>
            <w:tcMar>
              <w:top w:w="15" w:type="dxa"/>
              <w:left w:w="480" w:type="dxa"/>
              <w:bottom w:w="15" w:type="dxa"/>
              <w:right w:w="240" w:type="dxa"/>
            </w:tcMar>
            <w:vAlign w:val="center"/>
          </w:tcPr>
          <w:p w14:paraId="7984A29D"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Lecture</w:t>
            </w:r>
          </w:p>
        </w:tc>
        <w:tc>
          <w:tcPr>
            <w:tcW w:w="0" w:type="auto"/>
            <w:vAlign w:val="center"/>
          </w:tcPr>
          <w:p w14:paraId="705F6009"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 hours</w:t>
            </w:r>
          </w:p>
        </w:tc>
        <w:tc>
          <w:tcPr>
            <w:tcW w:w="0" w:type="auto"/>
            <w:vAlign w:val="center"/>
          </w:tcPr>
          <w:p w14:paraId="15F434FB"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w:t>
            </w:r>
          </w:p>
        </w:tc>
      </w:tr>
      <w:tr w:rsidR="00181BC1" w:rsidRPr="00B12AD7" w14:paraId="62912F01" w14:textId="77777777" w:rsidTr="00FE71EB">
        <w:trPr>
          <w:trHeight w:val="432"/>
          <w:tblCellSpacing w:w="15" w:type="dxa"/>
        </w:trPr>
        <w:tc>
          <w:tcPr>
            <w:tcW w:w="0" w:type="auto"/>
            <w:tcMar>
              <w:top w:w="15" w:type="dxa"/>
              <w:left w:w="480" w:type="dxa"/>
              <w:bottom w:w="15" w:type="dxa"/>
              <w:right w:w="240" w:type="dxa"/>
            </w:tcMar>
            <w:vAlign w:val="center"/>
          </w:tcPr>
          <w:p w14:paraId="46CD104F"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Self-guided</w:t>
            </w:r>
          </w:p>
        </w:tc>
        <w:tc>
          <w:tcPr>
            <w:tcW w:w="0" w:type="auto"/>
            <w:vAlign w:val="center"/>
          </w:tcPr>
          <w:p w14:paraId="43F780B0"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55 hours</w:t>
            </w:r>
          </w:p>
        </w:tc>
        <w:tc>
          <w:tcPr>
            <w:tcW w:w="0" w:type="auto"/>
            <w:vAlign w:val="center"/>
          </w:tcPr>
          <w:p w14:paraId="0910BF8D"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(55%)</w:t>
            </w:r>
          </w:p>
        </w:tc>
      </w:tr>
      <w:tr w:rsidR="00181BC1" w:rsidRPr="00B12AD7" w14:paraId="1D4D15E7" w14:textId="77777777" w:rsidTr="00FE71EB">
        <w:trPr>
          <w:trHeight w:val="432"/>
          <w:tblCellSpacing w:w="15" w:type="dxa"/>
        </w:trPr>
        <w:tc>
          <w:tcPr>
            <w:tcW w:w="0" w:type="auto"/>
            <w:tcMar>
              <w:top w:w="15" w:type="dxa"/>
              <w:left w:w="480" w:type="dxa"/>
              <w:bottom w:w="15" w:type="dxa"/>
              <w:right w:w="240" w:type="dxa"/>
            </w:tcMar>
            <w:vAlign w:val="center"/>
          </w:tcPr>
          <w:p w14:paraId="76C52EB3"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Seminar</w:t>
            </w:r>
          </w:p>
        </w:tc>
        <w:tc>
          <w:tcPr>
            <w:tcW w:w="0" w:type="auto"/>
            <w:vAlign w:val="center"/>
          </w:tcPr>
          <w:p w14:paraId="059D741B"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30 hours</w:t>
            </w:r>
          </w:p>
        </w:tc>
        <w:tc>
          <w:tcPr>
            <w:tcW w:w="0" w:type="auto"/>
            <w:vAlign w:val="center"/>
          </w:tcPr>
          <w:p w14:paraId="047BD2A7"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(30%)</w:t>
            </w:r>
          </w:p>
        </w:tc>
      </w:tr>
      <w:tr w:rsidR="00181BC1" w:rsidRPr="00B12AD7" w14:paraId="3AE6F65C" w14:textId="77777777" w:rsidTr="00FE71EB">
        <w:trPr>
          <w:trHeight w:val="432"/>
          <w:tblCellSpacing w:w="15" w:type="dxa"/>
        </w:trPr>
        <w:tc>
          <w:tcPr>
            <w:tcW w:w="0" w:type="auto"/>
            <w:tcMar>
              <w:top w:w="15" w:type="dxa"/>
              <w:left w:w="480" w:type="dxa"/>
              <w:bottom w:w="15" w:type="dxa"/>
              <w:right w:w="240" w:type="dxa"/>
            </w:tcMar>
            <w:vAlign w:val="center"/>
          </w:tcPr>
          <w:p w14:paraId="314E1277"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Workshop</w:t>
            </w:r>
          </w:p>
        </w:tc>
        <w:tc>
          <w:tcPr>
            <w:tcW w:w="0" w:type="auto"/>
            <w:vAlign w:val="center"/>
          </w:tcPr>
          <w:p w14:paraId="1B272704"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15 hours</w:t>
            </w:r>
          </w:p>
        </w:tc>
        <w:tc>
          <w:tcPr>
            <w:tcW w:w="0" w:type="auto"/>
            <w:vAlign w:val="center"/>
          </w:tcPr>
          <w:p w14:paraId="48107861"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(15%)</w:t>
            </w:r>
          </w:p>
        </w:tc>
      </w:tr>
      <w:tr w:rsidR="00181BC1" w:rsidRPr="00B12AD7" w14:paraId="50D755C7" w14:textId="77777777" w:rsidTr="00FE71EB">
        <w:trPr>
          <w:trHeight w:val="432"/>
          <w:tblCellSpacing w:w="15" w:type="dxa"/>
        </w:trPr>
        <w:tc>
          <w:tcPr>
            <w:tcW w:w="0" w:type="auto"/>
            <w:tcMar>
              <w:top w:w="15" w:type="dxa"/>
              <w:left w:w="480" w:type="dxa"/>
              <w:bottom w:w="15" w:type="dxa"/>
              <w:right w:w="240" w:type="dxa"/>
            </w:tcMar>
            <w:vAlign w:val="center"/>
          </w:tcPr>
          <w:p w14:paraId="4985E816"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Total</w:t>
            </w:r>
          </w:p>
        </w:tc>
        <w:tc>
          <w:tcPr>
            <w:tcW w:w="0" w:type="auto"/>
            <w:vAlign w:val="center"/>
          </w:tcPr>
          <w:p w14:paraId="31256477"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100 hours</w:t>
            </w:r>
          </w:p>
        </w:tc>
        <w:tc>
          <w:tcPr>
            <w:tcW w:w="0" w:type="auto"/>
            <w:vAlign w:val="center"/>
          </w:tcPr>
          <w:p w14:paraId="028C0638"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w:t>
            </w:r>
          </w:p>
        </w:tc>
      </w:tr>
    </w:tbl>
    <w:p w14:paraId="70029F6A"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b/>
          <w:bCs/>
          <w:color w:val="404040" w:themeColor="text1" w:themeTint="BF"/>
          <w:sz w:val="22"/>
          <w:szCs w:val="22"/>
          <w:lang w:val="en-GB" w:eastAsia="en-GB"/>
        </w:rPr>
        <w:t>Method of</w:t>
      </w:r>
      <w:r w:rsidRPr="00B12AD7">
        <w:rPr>
          <w:rFonts w:ascii="DINCE-Regular" w:hAnsi="DINCE-Regular"/>
          <w:b/>
          <w:color w:val="404040" w:themeColor="text1" w:themeTint="BF"/>
          <w:sz w:val="22"/>
          <w:szCs w:val="22"/>
          <w:lang w:val="en-GB"/>
        </w:rPr>
        <w:t xml:space="preserve"> Assessment (normally assessed as follows)</w:t>
      </w:r>
    </w:p>
    <w:p w14:paraId="2FAA9A79"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intended learning outcomes will be assessed as follows:</w:t>
      </w:r>
    </w:p>
    <w:p w14:paraId="3EF4DC43" w14:textId="5867C91C"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Essay (60% - </w:t>
      </w:r>
      <w:r w:rsidR="00B05562">
        <w:rPr>
          <w:rFonts w:ascii="DINCE-Regular" w:hAnsi="DINCE-Regular"/>
          <w:color w:val="404040" w:themeColor="text1" w:themeTint="BF"/>
          <w:sz w:val="22"/>
          <w:szCs w:val="22"/>
          <w:lang w:val="en-GB" w:eastAsia="en-GB"/>
        </w:rPr>
        <w:t>3</w:t>
      </w:r>
      <w:r w:rsidRPr="00B12AD7">
        <w:rPr>
          <w:rFonts w:ascii="DINCE-Regular" w:hAnsi="DINCE-Regular"/>
          <w:color w:val="404040" w:themeColor="text1" w:themeTint="BF"/>
          <w:sz w:val="22"/>
          <w:szCs w:val="22"/>
          <w:lang w:val="en-GB" w:eastAsia="en-GB"/>
        </w:rPr>
        <w:t xml:space="preserve"> Credits): 3000 words; </w:t>
      </w:r>
      <w:r w:rsidRPr="00B12AD7">
        <w:rPr>
          <w:rFonts w:ascii="DINCE-Regular" w:hAnsi="DINCE-Regular"/>
          <w:color w:val="404040" w:themeColor="text1" w:themeTint="BF"/>
          <w:sz w:val="22"/>
          <w:szCs w:val="22"/>
          <w:lang w:val="en-GB"/>
        </w:rPr>
        <w:t>contributes to learning outcomes 1, 2, 3, 4</w:t>
      </w:r>
    </w:p>
    <w:p w14:paraId="52B2DB0B" w14:textId="7C04826D" w:rsidR="00181BC1" w:rsidRPr="00B12AD7" w:rsidRDefault="00181BC1" w:rsidP="00181BC1">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eastAsia="en-GB"/>
        </w:rPr>
        <w:t xml:space="preserve">Final exam (40% – </w:t>
      </w:r>
      <w:r w:rsidR="00B05562">
        <w:rPr>
          <w:rFonts w:ascii="DINCE-Regular" w:hAnsi="DINCE-Regular"/>
          <w:color w:val="404040" w:themeColor="text1" w:themeTint="BF"/>
          <w:sz w:val="22"/>
          <w:szCs w:val="22"/>
          <w:lang w:val="en-GB" w:eastAsia="en-GB"/>
        </w:rPr>
        <w:t>2</w:t>
      </w:r>
      <w:r w:rsidRPr="00B12AD7">
        <w:rPr>
          <w:rFonts w:ascii="DINCE-Regular" w:hAnsi="DINCE-Regular"/>
          <w:color w:val="404040" w:themeColor="text1" w:themeTint="BF"/>
          <w:sz w:val="22"/>
          <w:szCs w:val="22"/>
          <w:lang w:val="en-GB" w:eastAsia="en-GB"/>
        </w:rPr>
        <w:t xml:space="preserve"> Credits): 120 minutes; </w:t>
      </w:r>
      <w:r w:rsidRPr="00B12AD7">
        <w:rPr>
          <w:rFonts w:ascii="DINCE-Regular" w:hAnsi="DINCE-Regular"/>
          <w:color w:val="404040" w:themeColor="text1" w:themeTint="BF"/>
          <w:sz w:val="22"/>
          <w:szCs w:val="22"/>
          <w:lang w:val="en-GB"/>
        </w:rPr>
        <w:t>contributes to learning outcomes 1, 2, 3, 4</w:t>
      </w:r>
    </w:p>
    <w:p w14:paraId="328A13A2" w14:textId="77777777" w:rsidR="00181BC1" w:rsidRPr="00B12AD7" w:rsidRDefault="00181BC1" w:rsidP="00181BC1">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Re-sit</w:t>
      </w:r>
    </w:p>
    <w:p w14:paraId="761FF122" w14:textId="77777777" w:rsidR="00181BC1" w:rsidRPr="00B12AD7" w:rsidRDefault="00181BC1" w:rsidP="00181BC1">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lastRenderedPageBreak/>
        <w:t>Students failing any component of assessment, at the first attempt, are entitled to one re-sit attempt. This will be by new examination and/or new coursework scheduled for the next assessment opportunity. For coursework, if more than one element existed in the first attempt, this may be combined into one assessment for re-sit</w:t>
      </w:r>
    </w:p>
    <w:p w14:paraId="4272A9E6"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Date of last amendment</w:t>
      </w:r>
    </w:p>
    <w:p w14:paraId="43ECC2D5"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02-10-2016</w:t>
      </w:r>
    </w:p>
    <w:p w14:paraId="6CFB3CE5" w14:textId="77777777" w:rsidR="00181BC1" w:rsidRPr="00B12AD7" w:rsidRDefault="00181BC1" w:rsidP="00181BC1">
      <w:pPr>
        <w:pStyle w:val="Heading3"/>
        <w:spacing w:line="276" w:lineRule="auto"/>
        <w:jc w:val="both"/>
        <w:rPr>
          <w:rFonts w:ascii="DINCE-Regular" w:hAnsi="DINCE-Regular" w:cs="Times New Roman"/>
          <w:b/>
          <w:bCs/>
          <w:color w:val="404040" w:themeColor="text1" w:themeTint="BF"/>
          <w:sz w:val="22"/>
          <w:szCs w:val="22"/>
          <w:lang w:val="en-GB" w:eastAsia="en-GB"/>
        </w:rPr>
      </w:pPr>
      <w:r w:rsidRPr="00B12AD7">
        <w:rPr>
          <w:rFonts w:ascii="DINCE-Regular" w:hAnsi="DINCE-Regular" w:cs="Times New Roman"/>
          <w:color w:val="404040" w:themeColor="text1" w:themeTint="BF"/>
          <w:sz w:val="22"/>
          <w:szCs w:val="22"/>
          <w:lang w:val="en-GB" w:eastAsia="en-GB"/>
        </w:rPr>
        <w:t>3. MODULE RESOURCES</w:t>
      </w:r>
    </w:p>
    <w:p w14:paraId="7D5BFD05" w14:textId="77777777" w:rsidR="00181BC1" w:rsidRPr="00B12AD7" w:rsidRDefault="00181BC1" w:rsidP="00181BC1">
      <w:pPr>
        <w:shd w:val="clear" w:color="auto" w:fill="FFFFFF"/>
        <w:spacing w:line="276" w:lineRule="auto"/>
        <w:ind w:left="720" w:hanging="720"/>
        <w:jc w:val="both"/>
        <w:rPr>
          <w:rFonts w:ascii="DINCE-Regular" w:hAnsi="DINCE-Regular"/>
          <w:i/>
          <w:iCs/>
          <w:color w:val="404040" w:themeColor="text1" w:themeTint="BF"/>
          <w:sz w:val="22"/>
          <w:szCs w:val="22"/>
          <w:lang w:val="en-GB"/>
        </w:rPr>
      </w:pPr>
      <w:r w:rsidRPr="00B12AD7">
        <w:rPr>
          <w:rFonts w:ascii="DINCE-Regular" w:hAnsi="DINCE-Regular"/>
          <w:b/>
          <w:bCs/>
          <w:color w:val="404040" w:themeColor="text1" w:themeTint="BF"/>
          <w:sz w:val="22"/>
          <w:szCs w:val="22"/>
          <w:lang w:val="en-GB" w:eastAsia="en-GB"/>
        </w:rPr>
        <w:t>Essential Reading</w:t>
      </w:r>
    </w:p>
    <w:p w14:paraId="4D06B54E"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Bowe, H., Martin, K., Manns, H., 2014. </w:t>
      </w:r>
      <w:r w:rsidRPr="00B12AD7">
        <w:rPr>
          <w:rFonts w:ascii="DINCE-Regular" w:hAnsi="DINCE-Regular"/>
          <w:i/>
          <w:color w:val="404040" w:themeColor="text1" w:themeTint="BF"/>
          <w:sz w:val="22"/>
          <w:szCs w:val="22"/>
          <w:lang w:val="en-GB"/>
        </w:rPr>
        <w:t>Communication across Cultures: Mutual Understanding in a Global World</w:t>
      </w:r>
      <w:r w:rsidRPr="00B12AD7">
        <w:rPr>
          <w:rFonts w:ascii="DINCE-Regular" w:hAnsi="DINCE-Regular"/>
          <w:iCs/>
          <w:color w:val="404040" w:themeColor="text1" w:themeTint="BF"/>
          <w:sz w:val="22"/>
          <w:szCs w:val="22"/>
          <w:lang w:val="en-GB"/>
        </w:rPr>
        <w:t>. Cambridge: Cambridge University Press.</w:t>
      </w:r>
    </w:p>
    <w:p w14:paraId="1566615B"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Harrison, E. L., Huntington, S. P., 2000. </w:t>
      </w:r>
      <w:r w:rsidRPr="00B12AD7">
        <w:rPr>
          <w:rFonts w:ascii="DINCE-Regular" w:hAnsi="DINCE-Regular"/>
          <w:i/>
          <w:color w:val="404040" w:themeColor="text1" w:themeTint="BF"/>
          <w:sz w:val="22"/>
          <w:szCs w:val="22"/>
          <w:lang w:val="en-GB"/>
        </w:rPr>
        <w:t>Culture Matters: How Values Shape Human Progress</w:t>
      </w:r>
      <w:r w:rsidRPr="00B12AD7">
        <w:rPr>
          <w:rFonts w:ascii="DINCE-Regular" w:hAnsi="DINCE-Regular"/>
          <w:iCs/>
          <w:color w:val="404040" w:themeColor="text1" w:themeTint="BF"/>
          <w:sz w:val="22"/>
          <w:szCs w:val="22"/>
          <w:lang w:val="en-GB"/>
        </w:rPr>
        <w:t>.</w:t>
      </w:r>
      <w:r w:rsidRPr="00B12AD7">
        <w:rPr>
          <w:rFonts w:ascii="DINCE-Regular" w:hAnsi="DINCE-Regular"/>
          <w:i/>
          <w:color w:val="404040" w:themeColor="text1" w:themeTint="BF"/>
          <w:sz w:val="22"/>
          <w:szCs w:val="22"/>
          <w:lang w:val="en-GB"/>
        </w:rPr>
        <w:t xml:space="preserve"> </w:t>
      </w:r>
      <w:r w:rsidRPr="00B12AD7">
        <w:rPr>
          <w:rFonts w:ascii="DINCE-Regular" w:hAnsi="DINCE-Regular"/>
          <w:color w:val="404040" w:themeColor="text1" w:themeTint="BF"/>
          <w:sz w:val="22"/>
          <w:szCs w:val="22"/>
          <w:lang w:val="en-GB"/>
        </w:rPr>
        <w:t>New York: Basic Books.</w:t>
      </w:r>
    </w:p>
    <w:p w14:paraId="13B1A8BE"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Samovar, L., 2012. </w:t>
      </w:r>
      <w:r w:rsidRPr="00B12AD7">
        <w:rPr>
          <w:rFonts w:ascii="DINCE-Regular" w:hAnsi="DINCE-Regular"/>
          <w:i/>
          <w:iCs/>
          <w:color w:val="404040" w:themeColor="text1" w:themeTint="BF"/>
          <w:sz w:val="22"/>
          <w:szCs w:val="22"/>
          <w:lang w:val="en-GB"/>
        </w:rPr>
        <w:t xml:space="preserve"> </w:t>
      </w:r>
      <w:r w:rsidRPr="00B12AD7">
        <w:rPr>
          <w:rFonts w:ascii="DINCE-Regular" w:hAnsi="DINCE-Regular"/>
          <w:i/>
          <w:color w:val="404040" w:themeColor="text1" w:themeTint="BF"/>
          <w:sz w:val="22"/>
          <w:szCs w:val="22"/>
          <w:lang w:val="en-GB"/>
        </w:rPr>
        <w:t>Intercultural Communication: a Reader</w:t>
      </w:r>
      <w:r w:rsidRPr="00B12AD7">
        <w:rPr>
          <w:rFonts w:ascii="DINCE-Regular" w:hAnsi="DINCE-Regular"/>
          <w:i/>
          <w:iCs/>
          <w:color w:val="404040" w:themeColor="text1" w:themeTint="BF"/>
          <w:sz w:val="22"/>
          <w:szCs w:val="22"/>
          <w:lang w:val="en-GB"/>
        </w:rPr>
        <w:t xml:space="preserve">. </w:t>
      </w:r>
      <w:r w:rsidRPr="00B12AD7">
        <w:rPr>
          <w:rFonts w:ascii="DINCE-Regular" w:hAnsi="DINCE-Regular"/>
          <w:color w:val="404040" w:themeColor="text1" w:themeTint="BF"/>
          <w:sz w:val="22"/>
          <w:szCs w:val="22"/>
          <w:lang w:val="en-GB"/>
        </w:rPr>
        <w:t>Boston, MA: Wadsworth Cengage Learning.</w:t>
      </w:r>
    </w:p>
    <w:p w14:paraId="21A33BD8" w14:textId="77777777" w:rsidR="00181BC1" w:rsidRPr="00B12AD7" w:rsidRDefault="00181BC1" w:rsidP="00181BC1">
      <w:pPr>
        <w:spacing w:line="276" w:lineRule="auto"/>
        <w:ind w:left="720" w:hanging="720"/>
        <w:jc w:val="both"/>
        <w:rPr>
          <w:rFonts w:ascii="DINCE-Regular" w:hAnsi="DINCE-Regular"/>
          <w:i/>
          <w:i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Recommended Reading</w:t>
      </w:r>
    </w:p>
    <w:p w14:paraId="0E3B9780"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Aitchison, J., 2011. </w:t>
      </w:r>
      <w:r w:rsidRPr="00B12AD7">
        <w:rPr>
          <w:rFonts w:ascii="DINCE-Regular" w:hAnsi="DINCE-Regular"/>
          <w:i/>
          <w:color w:val="404040" w:themeColor="text1" w:themeTint="BF"/>
          <w:sz w:val="22"/>
          <w:szCs w:val="22"/>
          <w:lang w:val="en-GB"/>
        </w:rPr>
        <w:t>The Articulate Mammal: An Introduction to Psycholinguistics</w:t>
      </w:r>
      <w:r w:rsidRPr="00B12AD7">
        <w:rPr>
          <w:rFonts w:ascii="DINCE-Regular" w:hAnsi="DINCE-Regular"/>
          <w:iCs/>
          <w:color w:val="404040" w:themeColor="text1" w:themeTint="BF"/>
          <w:sz w:val="22"/>
          <w:szCs w:val="22"/>
          <w:lang w:val="en-GB"/>
        </w:rPr>
        <w:t xml:space="preserve">. </w:t>
      </w:r>
      <w:proofErr w:type="gramStart"/>
      <w:r w:rsidRPr="00B12AD7">
        <w:rPr>
          <w:rFonts w:ascii="DINCE-Regular" w:hAnsi="DINCE-Regular"/>
          <w:iCs/>
          <w:color w:val="404040" w:themeColor="text1" w:themeTint="BF"/>
          <w:sz w:val="22"/>
          <w:szCs w:val="22"/>
          <w:lang w:val="en-GB"/>
        </w:rPr>
        <w:t>London :</w:t>
      </w:r>
      <w:proofErr w:type="gramEnd"/>
      <w:r w:rsidRPr="00B12AD7">
        <w:rPr>
          <w:rFonts w:ascii="DINCE-Regular" w:hAnsi="DINCE-Regular"/>
          <w:iCs/>
          <w:color w:val="404040" w:themeColor="text1" w:themeTint="BF"/>
          <w:sz w:val="22"/>
          <w:szCs w:val="22"/>
          <w:lang w:val="en-GB"/>
        </w:rPr>
        <w:t xml:space="preserve"> Routledge. </w:t>
      </w:r>
    </w:p>
    <w:p w14:paraId="1F2FCEA9"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Arnold. K., 2011. </w:t>
      </w:r>
      <w:r w:rsidRPr="00B12AD7">
        <w:rPr>
          <w:rFonts w:ascii="DINCE-Regular" w:hAnsi="DINCE-Regular"/>
          <w:i/>
          <w:color w:val="404040" w:themeColor="text1" w:themeTint="BF"/>
          <w:sz w:val="22"/>
          <w:szCs w:val="22"/>
          <w:lang w:val="en-GB"/>
        </w:rPr>
        <w:t>Fashion and Self-Fashioning: Clothing Regulation in Renaissance Europe</w:t>
      </w:r>
      <w:r w:rsidRPr="00B12AD7">
        <w:rPr>
          <w:rFonts w:ascii="DINCE-Regular" w:hAnsi="DINCE-Regular"/>
          <w:iCs/>
          <w:color w:val="404040" w:themeColor="text1" w:themeTint="BF"/>
          <w:sz w:val="22"/>
          <w:szCs w:val="22"/>
          <w:lang w:val="en-GB"/>
        </w:rPr>
        <w:t>. Summer Research, 93.</w:t>
      </w:r>
    </w:p>
    <w:p w14:paraId="0817F5FA"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Bauman Z., 2006. </w:t>
      </w:r>
      <w:r w:rsidRPr="00B12AD7">
        <w:rPr>
          <w:rFonts w:ascii="DINCE-Regular" w:hAnsi="DINCE-Regular"/>
          <w:i/>
          <w:color w:val="404040" w:themeColor="text1" w:themeTint="BF"/>
          <w:sz w:val="22"/>
          <w:szCs w:val="22"/>
          <w:lang w:val="en-GB"/>
        </w:rPr>
        <w:t>Liquid Modernity</w:t>
      </w:r>
      <w:r w:rsidRPr="00B12AD7">
        <w:rPr>
          <w:rFonts w:ascii="DINCE-Regular" w:hAnsi="DINCE-Regular"/>
          <w:iCs/>
          <w:color w:val="404040" w:themeColor="text1" w:themeTint="BF"/>
          <w:sz w:val="22"/>
          <w:szCs w:val="22"/>
          <w:lang w:val="en-GB"/>
        </w:rPr>
        <w:t xml:space="preserve">. Cambridge: Polity Press. </w:t>
      </w:r>
    </w:p>
    <w:p w14:paraId="1A441D5D"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Bauman Z., 2008. </w:t>
      </w:r>
      <w:r w:rsidRPr="00B12AD7">
        <w:rPr>
          <w:rFonts w:ascii="DINCE-Regular" w:hAnsi="DINCE-Regular"/>
          <w:i/>
          <w:color w:val="404040" w:themeColor="text1" w:themeTint="BF"/>
          <w:sz w:val="22"/>
          <w:szCs w:val="22"/>
          <w:lang w:val="en-GB"/>
        </w:rPr>
        <w:t>Consuming Life</w:t>
      </w:r>
      <w:r w:rsidRPr="00B12AD7">
        <w:rPr>
          <w:rFonts w:ascii="DINCE-Regular" w:hAnsi="DINCE-Regular"/>
          <w:iCs/>
          <w:color w:val="404040" w:themeColor="text1" w:themeTint="BF"/>
          <w:sz w:val="22"/>
          <w:szCs w:val="22"/>
          <w:lang w:val="en-GB"/>
        </w:rPr>
        <w:t>. Cambridge: Polity Press.</w:t>
      </w:r>
    </w:p>
    <w:p w14:paraId="42272C56"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Barrowclough D., Kozul-Wright, Z., 2008</w:t>
      </w:r>
      <w:r w:rsidRPr="00B12AD7">
        <w:rPr>
          <w:rFonts w:ascii="DINCE-Regular" w:hAnsi="DINCE-Regular"/>
          <w:i/>
          <w:color w:val="404040" w:themeColor="text1" w:themeTint="BF"/>
          <w:sz w:val="22"/>
          <w:szCs w:val="22"/>
          <w:lang w:val="en-GB"/>
        </w:rPr>
        <w:t>. Voice, choice and diversity through creative industries: towards a new development agenda</w:t>
      </w:r>
      <w:r w:rsidRPr="00B12AD7">
        <w:rPr>
          <w:rFonts w:ascii="DINCE-Regular" w:hAnsi="DINCE-Regular"/>
          <w:iCs/>
          <w:color w:val="404040" w:themeColor="text1" w:themeTint="BF"/>
          <w:sz w:val="22"/>
          <w:szCs w:val="22"/>
          <w:lang w:val="en-GB"/>
        </w:rPr>
        <w:t xml:space="preserve">. </w:t>
      </w:r>
    </w:p>
    <w:p w14:paraId="73DCB7E1"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Bitzer, L. F., 1968. The Rhetorical Situation. </w:t>
      </w:r>
      <w:r w:rsidRPr="00B12AD7">
        <w:rPr>
          <w:rFonts w:ascii="DINCE-Regular" w:hAnsi="DINCE-Regular"/>
          <w:i/>
          <w:color w:val="404040" w:themeColor="text1" w:themeTint="BF"/>
          <w:sz w:val="22"/>
          <w:szCs w:val="22"/>
          <w:lang w:val="en-GB"/>
        </w:rPr>
        <w:t>Philosophy &amp; Rhetoric,</w:t>
      </w:r>
      <w:r w:rsidRPr="00B12AD7">
        <w:rPr>
          <w:rFonts w:ascii="DINCE-Regular" w:hAnsi="DINCE-Regular"/>
          <w:iCs/>
          <w:color w:val="404040" w:themeColor="text1" w:themeTint="BF"/>
          <w:sz w:val="22"/>
          <w:szCs w:val="22"/>
          <w:lang w:val="en-GB"/>
        </w:rPr>
        <w:t xml:space="preserve"> 1(1), pp.1-14. </w:t>
      </w:r>
    </w:p>
    <w:p w14:paraId="75872E5E"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Dowing, J., Mohammadi, A., </w:t>
      </w:r>
      <w:proofErr w:type="spellStart"/>
      <w:r w:rsidRPr="00B12AD7">
        <w:rPr>
          <w:rFonts w:ascii="DINCE-Regular" w:hAnsi="DINCE-Regular"/>
          <w:iCs/>
          <w:color w:val="404040" w:themeColor="text1" w:themeTint="BF"/>
          <w:sz w:val="22"/>
          <w:szCs w:val="22"/>
          <w:lang w:val="en-GB"/>
        </w:rPr>
        <w:t>Sreberny</w:t>
      </w:r>
      <w:proofErr w:type="spellEnd"/>
      <w:r w:rsidRPr="00B12AD7">
        <w:rPr>
          <w:rFonts w:ascii="DINCE-Regular" w:hAnsi="DINCE-Regular"/>
          <w:iCs/>
          <w:color w:val="404040" w:themeColor="text1" w:themeTint="BF"/>
          <w:sz w:val="22"/>
          <w:szCs w:val="22"/>
          <w:lang w:val="en-GB"/>
        </w:rPr>
        <w:t xml:space="preserve">, A., 1995. </w:t>
      </w:r>
      <w:r w:rsidRPr="00B12AD7">
        <w:rPr>
          <w:rFonts w:ascii="DINCE-Regular" w:hAnsi="DINCE-Regular"/>
          <w:i/>
          <w:color w:val="404040" w:themeColor="text1" w:themeTint="BF"/>
          <w:sz w:val="22"/>
          <w:szCs w:val="22"/>
          <w:lang w:val="en-GB"/>
        </w:rPr>
        <w:t>Questioning the Media: A Critical Introduction</w:t>
      </w:r>
      <w:r w:rsidRPr="00B12AD7">
        <w:rPr>
          <w:rFonts w:ascii="DINCE-Regular" w:hAnsi="DINCE-Regular"/>
          <w:iCs/>
          <w:color w:val="404040" w:themeColor="text1" w:themeTint="BF"/>
          <w:sz w:val="22"/>
          <w:szCs w:val="22"/>
          <w:lang w:val="en-GB"/>
        </w:rPr>
        <w:t>. Thousand Oaks, Calif.: Sage</w:t>
      </w:r>
    </w:p>
    <w:p w14:paraId="5E0AC11C"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rPr>
      </w:pPr>
      <w:proofErr w:type="spellStart"/>
      <w:r w:rsidRPr="00B12AD7">
        <w:rPr>
          <w:rFonts w:ascii="DINCE-Regular" w:hAnsi="DINCE-Regular"/>
          <w:iCs/>
          <w:color w:val="404040" w:themeColor="text1" w:themeTint="BF"/>
          <w:sz w:val="22"/>
          <w:szCs w:val="22"/>
          <w:lang w:val="en-GB"/>
        </w:rPr>
        <w:t>Gitner</w:t>
      </w:r>
      <w:proofErr w:type="spellEnd"/>
      <w:r w:rsidRPr="00B12AD7">
        <w:rPr>
          <w:rFonts w:ascii="DINCE-Regular" w:hAnsi="DINCE-Regular"/>
          <w:iCs/>
          <w:color w:val="404040" w:themeColor="text1" w:themeTint="BF"/>
          <w:sz w:val="22"/>
          <w:szCs w:val="22"/>
          <w:lang w:val="en-GB"/>
        </w:rPr>
        <w:t xml:space="preserve"> S., 2016. </w:t>
      </w:r>
      <w:r w:rsidRPr="00B12AD7">
        <w:rPr>
          <w:rFonts w:ascii="DINCE-Regular" w:hAnsi="DINCE-Regular"/>
          <w:i/>
          <w:color w:val="404040" w:themeColor="text1" w:themeTint="BF"/>
          <w:sz w:val="22"/>
          <w:szCs w:val="22"/>
          <w:lang w:val="en-GB"/>
        </w:rPr>
        <w:t>Multimedia Storytelling: For Digital Communicators in a Multiplatform World</w:t>
      </w:r>
      <w:r w:rsidRPr="00B12AD7">
        <w:rPr>
          <w:rFonts w:ascii="DINCE-Regular" w:hAnsi="DINCE-Regular"/>
          <w:iCs/>
          <w:color w:val="404040" w:themeColor="text1" w:themeTint="BF"/>
          <w:sz w:val="22"/>
          <w:szCs w:val="22"/>
          <w:lang w:val="en-GB"/>
        </w:rPr>
        <w:t>. New York: Routledge.</w:t>
      </w:r>
    </w:p>
    <w:p w14:paraId="5D9F3DD7"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Porter, M. E., 2000. </w:t>
      </w:r>
      <w:r w:rsidRPr="00B12AD7">
        <w:rPr>
          <w:rFonts w:ascii="DINCE-Regular" w:hAnsi="DINCE-Regular"/>
          <w:i/>
          <w:color w:val="404040" w:themeColor="text1" w:themeTint="BF"/>
          <w:sz w:val="22"/>
          <w:szCs w:val="22"/>
          <w:lang w:val="en-GB"/>
        </w:rPr>
        <w:t>Attitudes, Value, Beliefs, and the Microeconomics of Prosperity</w:t>
      </w:r>
      <w:r w:rsidRPr="00B12AD7">
        <w:rPr>
          <w:rFonts w:ascii="DINCE-Regular" w:hAnsi="DINCE-Regular"/>
          <w:iCs/>
          <w:color w:val="404040" w:themeColor="text1" w:themeTint="BF"/>
          <w:sz w:val="22"/>
          <w:szCs w:val="22"/>
          <w:lang w:val="en-GB"/>
        </w:rPr>
        <w:t xml:space="preserve">. New York: Basic Books. </w:t>
      </w:r>
    </w:p>
    <w:p w14:paraId="411445CF"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Rosenwein, B., 2010. </w:t>
      </w:r>
      <w:r w:rsidRPr="00B12AD7">
        <w:rPr>
          <w:rFonts w:ascii="DINCE-Regular" w:hAnsi="DINCE-Regular"/>
          <w:i/>
          <w:color w:val="404040" w:themeColor="text1" w:themeTint="BF"/>
          <w:sz w:val="22"/>
          <w:szCs w:val="22"/>
          <w:lang w:val="en-GB"/>
        </w:rPr>
        <w:t>Problems and Methods in the History of Emotions</w:t>
      </w:r>
      <w:r w:rsidRPr="00B12AD7">
        <w:rPr>
          <w:rFonts w:ascii="DINCE-Regular" w:hAnsi="DINCE-Regular"/>
          <w:iCs/>
          <w:color w:val="404040" w:themeColor="text1" w:themeTint="BF"/>
          <w:sz w:val="22"/>
          <w:szCs w:val="22"/>
          <w:lang w:val="en-GB"/>
        </w:rPr>
        <w:t xml:space="preserve">. </w:t>
      </w:r>
    </w:p>
    <w:p w14:paraId="41C6F4D5"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Solnit, R., 2013. In the Day of the Postma. </w:t>
      </w:r>
      <w:r w:rsidRPr="00B12AD7">
        <w:rPr>
          <w:rFonts w:ascii="DINCE-Regular" w:hAnsi="DINCE-Regular"/>
          <w:i/>
          <w:color w:val="404040" w:themeColor="text1" w:themeTint="BF"/>
          <w:sz w:val="22"/>
          <w:szCs w:val="22"/>
          <w:lang w:val="en-GB"/>
        </w:rPr>
        <w:t>Diary</w:t>
      </w:r>
      <w:r w:rsidRPr="00B12AD7">
        <w:rPr>
          <w:rFonts w:ascii="DINCE-Regular" w:hAnsi="DINCE-Regular"/>
          <w:iCs/>
          <w:color w:val="404040" w:themeColor="text1" w:themeTint="BF"/>
          <w:sz w:val="22"/>
          <w:szCs w:val="22"/>
          <w:lang w:val="en-GB"/>
        </w:rPr>
        <w:t xml:space="preserve">, 35(16). </w:t>
      </w:r>
    </w:p>
    <w:p w14:paraId="08AB7908" w14:textId="77777777" w:rsidR="00181BC1" w:rsidRPr="00B12AD7" w:rsidRDefault="00181BC1" w:rsidP="00181BC1">
      <w:pPr>
        <w:spacing w:line="276" w:lineRule="auto"/>
        <w:ind w:left="720" w:hanging="720"/>
        <w:contextualSpacing/>
        <w:jc w:val="both"/>
        <w:rPr>
          <w:rFonts w:ascii="DINCE-Regular" w:hAnsi="DINCE-Regular"/>
          <w:iCs/>
          <w:color w:val="404040" w:themeColor="text1" w:themeTint="BF"/>
          <w:sz w:val="22"/>
          <w:szCs w:val="22"/>
          <w:lang w:val="en-GB"/>
        </w:rPr>
      </w:pPr>
      <w:r w:rsidRPr="00B12AD7">
        <w:rPr>
          <w:rFonts w:ascii="DINCE-Regular" w:hAnsi="DINCE-Regular"/>
          <w:iCs/>
          <w:color w:val="404040" w:themeColor="text1" w:themeTint="BF"/>
          <w:sz w:val="22"/>
          <w:szCs w:val="22"/>
          <w:lang w:val="en-GB"/>
        </w:rPr>
        <w:t xml:space="preserve">Vajda, E., 2011. </w:t>
      </w:r>
      <w:r w:rsidRPr="00B12AD7">
        <w:rPr>
          <w:rFonts w:ascii="DINCE-Regular" w:hAnsi="DINCE-Regular"/>
          <w:i/>
          <w:color w:val="404040" w:themeColor="text1" w:themeTint="BF"/>
          <w:sz w:val="22"/>
          <w:szCs w:val="22"/>
          <w:lang w:val="en-GB"/>
        </w:rPr>
        <w:t>The Origins of Language</w:t>
      </w:r>
      <w:r w:rsidRPr="00B12AD7">
        <w:rPr>
          <w:rFonts w:ascii="DINCE-Regular" w:hAnsi="DINCE-Regular"/>
          <w:iCs/>
          <w:color w:val="404040" w:themeColor="text1" w:themeTint="BF"/>
          <w:sz w:val="22"/>
          <w:szCs w:val="22"/>
          <w:lang w:val="en-GB"/>
        </w:rPr>
        <w:t xml:space="preserve">. </w:t>
      </w:r>
    </w:p>
    <w:p w14:paraId="354EDFBB"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Required Equipment</w:t>
      </w:r>
    </w:p>
    <w:p w14:paraId="2DE9C8C6"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p>
    <w:p w14:paraId="7CC82479" w14:textId="77777777" w:rsidR="00181BC1" w:rsidRPr="00B12AD7" w:rsidRDefault="00181BC1" w:rsidP="00181BC1">
      <w:pPr>
        <w:pStyle w:val="Heading3"/>
        <w:spacing w:line="276" w:lineRule="auto"/>
        <w:jc w:val="both"/>
        <w:rPr>
          <w:rFonts w:ascii="DINCE-Regular" w:hAnsi="DINCE-Regular" w:cs="Times New Roman"/>
          <w:b/>
          <w:bCs/>
          <w:color w:val="404040" w:themeColor="text1" w:themeTint="BF"/>
          <w:sz w:val="22"/>
          <w:szCs w:val="22"/>
          <w:lang w:val="en-GB" w:eastAsia="en-GB"/>
        </w:rPr>
      </w:pPr>
      <w:r w:rsidRPr="00B12AD7">
        <w:rPr>
          <w:rFonts w:ascii="DINCE-Regular" w:hAnsi="DINCE-Regular" w:cs="Times New Roman"/>
          <w:color w:val="404040" w:themeColor="text1" w:themeTint="BF"/>
          <w:sz w:val="22"/>
          <w:szCs w:val="22"/>
          <w:lang w:val="en-GB" w:eastAsia="en-GB"/>
        </w:rPr>
        <w:t>4. MODULE ORGANISATION</w:t>
      </w:r>
    </w:p>
    <w:p w14:paraId="252C4047" w14:textId="77777777" w:rsidR="00181BC1" w:rsidRPr="00B12AD7" w:rsidRDefault="00181BC1" w:rsidP="00181BC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427"/>
        <w:gridCol w:w="81"/>
      </w:tblGrid>
      <w:tr w:rsidR="00181BC1" w:rsidRPr="00B12AD7" w14:paraId="73A897FB" w14:textId="77777777" w:rsidTr="00FE71EB">
        <w:trPr>
          <w:trHeight w:val="432"/>
          <w:tblCellSpacing w:w="15" w:type="dxa"/>
        </w:trPr>
        <w:tc>
          <w:tcPr>
            <w:tcW w:w="0" w:type="auto"/>
            <w:tcMar>
              <w:top w:w="15" w:type="dxa"/>
              <w:left w:w="480" w:type="dxa"/>
              <w:bottom w:w="15" w:type="dxa"/>
              <w:right w:w="240" w:type="dxa"/>
            </w:tcMar>
            <w:vAlign w:val="center"/>
          </w:tcPr>
          <w:p w14:paraId="2DAAA31C"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Name</w:t>
            </w:r>
          </w:p>
        </w:tc>
        <w:tc>
          <w:tcPr>
            <w:tcW w:w="0" w:type="auto"/>
            <w:vAlign w:val="center"/>
          </w:tcPr>
          <w:p w14:paraId="06402F4F"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r>
              <w:rPr>
                <w:rFonts w:ascii="DINCE-Regular" w:hAnsi="DINCE-Regular"/>
                <w:color w:val="404040" w:themeColor="text1" w:themeTint="BF"/>
                <w:sz w:val="22"/>
                <w:szCs w:val="22"/>
                <w:lang w:val="en-GB" w:eastAsia="en-GB"/>
              </w:rPr>
              <w:t xml:space="preserve">Dr Jan </w:t>
            </w:r>
            <w:proofErr w:type="spellStart"/>
            <w:r>
              <w:rPr>
                <w:rFonts w:ascii="DINCE-Regular" w:hAnsi="DINCE-Regular"/>
                <w:color w:val="404040" w:themeColor="text1" w:themeTint="BF"/>
                <w:sz w:val="22"/>
                <w:szCs w:val="22"/>
                <w:lang w:val="en-GB" w:eastAsia="en-GB"/>
              </w:rPr>
              <w:t>Grzymski</w:t>
            </w:r>
            <w:proofErr w:type="spellEnd"/>
            <w:r w:rsidRPr="00B12AD7">
              <w:rPr>
                <w:rFonts w:ascii="DINCE-Regular" w:hAnsi="DINCE-Regular"/>
                <w:color w:val="404040" w:themeColor="text1" w:themeTint="BF"/>
                <w:sz w:val="22"/>
                <w:szCs w:val="22"/>
                <w:lang w:val="en-GB" w:eastAsia="en-GB"/>
              </w:rPr>
              <w:t xml:space="preserve"> </w:t>
            </w:r>
          </w:p>
        </w:tc>
        <w:tc>
          <w:tcPr>
            <w:tcW w:w="0" w:type="auto"/>
            <w:vAlign w:val="center"/>
          </w:tcPr>
          <w:p w14:paraId="67639DC6"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p>
        </w:tc>
      </w:tr>
      <w:tr w:rsidR="00181BC1" w:rsidRPr="00B12AD7" w14:paraId="2F1004CF" w14:textId="77777777" w:rsidTr="00FE71EB">
        <w:trPr>
          <w:trHeight w:val="432"/>
          <w:tblCellSpacing w:w="15" w:type="dxa"/>
        </w:trPr>
        <w:tc>
          <w:tcPr>
            <w:tcW w:w="0" w:type="auto"/>
            <w:tcMar>
              <w:top w:w="15" w:type="dxa"/>
              <w:left w:w="480" w:type="dxa"/>
              <w:bottom w:w="15" w:type="dxa"/>
              <w:right w:w="240" w:type="dxa"/>
            </w:tcMar>
            <w:vAlign w:val="center"/>
          </w:tcPr>
          <w:p w14:paraId="25DB7D55" w14:textId="77777777" w:rsidR="00181BC1" w:rsidRPr="00B12AD7" w:rsidRDefault="00181BC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E-mail</w:t>
            </w:r>
          </w:p>
        </w:tc>
        <w:tc>
          <w:tcPr>
            <w:tcW w:w="0" w:type="auto"/>
            <w:vAlign w:val="center"/>
          </w:tcPr>
          <w:p w14:paraId="7063F72C" w14:textId="77777777" w:rsidR="00181BC1" w:rsidRPr="00B12AD7" w:rsidRDefault="00181BC1" w:rsidP="00FE71EB">
            <w:pPr>
              <w:spacing w:line="276" w:lineRule="auto"/>
              <w:jc w:val="both"/>
              <w:rPr>
                <w:rFonts w:ascii="DINCE-Regular" w:hAnsi="DINCE-Regular"/>
                <w:color w:val="404040" w:themeColor="text1" w:themeTint="BF"/>
              </w:rPr>
            </w:pPr>
            <w:r w:rsidRPr="00BC4905">
              <w:rPr>
                <w:rFonts w:ascii="DINCE-Regular" w:hAnsi="DINCE-Regular"/>
                <w:iCs/>
                <w:color w:val="404040" w:themeColor="text1" w:themeTint="BF"/>
                <w:sz w:val="22"/>
                <w:szCs w:val="22"/>
                <w:u w:val="single"/>
                <w:lang w:val="en-GB"/>
              </w:rPr>
              <w:t>jangrzymski@gmail.com</w:t>
            </w:r>
          </w:p>
        </w:tc>
        <w:tc>
          <w:tcPr>
            <w:tcW w:w="0" w:type="auto"/>
            <w:vAlign w:val="center"/>
          </w:tcPr>
          <w:p w14:paraId="460E5642" w14:textId="77777777" w:rsidR="00181BC1" w:rsidRPr="00B12AD7" w:rsidRDefault="00181BC1" w:rsidP="00FE71EB">
            <w:pPr>
              <w:spacing w:line="276" w:lineRule="auto"/>
              <w:jc w:val="both"/>
              <w:rPr>
                <w:rFonts w:ascii="DINCE-Regular" w:hAnsi="DINCE-Regular"/>
                <w:color w:val="404040" w:themeColor="text1" w:themeTint="BF"/>
                <w:sz w:val="22"/>
                <w:szCs w:val="22"/>
                <w:lang w:val="en-GB" w:eastAsia="en-GB"/>
              </w:rPr>
            </w:pPr>
          </w:p>
        </w:tc>
      </w:tr>
    </w:tbl>
    <w:p w14:paraId="14954315" w14:textId="77777777" w:rsidR="00181BC1" w:rsidRPr="00B12AD7" w:rsidRDefault="00181BC1" w:rsidP="00181BC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Length and month of examination</w:t>
      </w:r>
    </w:p>
    <w:p w14:paraId="3D3B33DA" w14:textId="77777777" w:rsidR="00181BC1" w:rsidRPr="00B12AD7" w:rsidRDefault="00181BC1" w:rsidP="00181BC1">
      <w:pPr>
        <w:shd w:val="clear" w:color="auto" w:fill="FFFFFF"/>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lastRenderedPageBreak/>
        <w:t>120 minutes in February</w:t>
      </w:r>
    </w:p>
    <w:p w14:paraId="79ED2EB6"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INCE-Regular">
    <w:panose1 w:val="020B0604020202020204"/>
    <w:charset w:val="00"/>
    <w:family w:val="auto"/>
    <w:pitch w:val="variable"/>
    <w:sig w:usb0="8000002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Symbol" w:hAnsi="Symbol"/>
      </w:rPr>
    </w:lvl>
  </w:abstractNum>
  <w:abstractNum w:abstractNumId="1" w15:restartNumberingAfterBreak="0">
    <w:nsid w:val="7DFD24DD"/>
    <w:multiLevelType w:val="hybridMultilevel"/>
    <w:tmpl w:val="C3AAE9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11516452">
    <w:abstractNumId w:val="0"/>
  </w:num>
  <w:num w:numId="2" w16cid:durableId="189820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C1"/>
    <w:rsid w:val="00181BC1"/>
    <w:rsid w:val="002F545A"/>
    <w:rsid w:val="00605D61"/>
    <w:rsid w:val="00A0510C"/>
    <w:rsid w:val="00B05562"/>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721246AA"/>
  <w15:chartTrackingRefBased/>
  <w15:docId w15:val="{9CAFD24B-5E53-F448-B61B-0BD8A938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C1"/>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181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81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1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B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B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B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B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81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1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BC1"/>
    <w:rPr>
      <w:rFonts w:eastAsiaTheme="majorEastAsia" w:cstheme="majorBidi"/>
      <w:color w:val="272727" w:themeColor="text1" w:themeTint="D8"/>
    </w:rPr>
  </w:style>
  <w:style w:type="paragraph" w:styleId="Title">
    <w:name w:val="Title"/>
    <w:basedOn w:val="Normal"/>
    <w:next w:val="Normal"/>
    <w:link w:val="TitleChar"/>
    <w:uiPriority w:val="10"/>
    <w:qFormat/>
    <w:rsid w:val="00181B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B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B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1BC1"/>
    <w:rPr>
      <w:i/>
      <w:iCs/>
      <w:color w:val="404040" w:themeColor="text1" w:themeTint="BF"/>
    </w:rPr>
  </w:style>
  <w:style w:type="paragraph" w:styleId="ListParagraph">
    <w:name w:val="List Paragraph"/>
    <w:basedOn w:val="Normal"/>
    <w:uiPriority w:val="34"/>
    <w:qFormat/>
    <w:rsid w:val="00181BC1"/>
    <w:pPr>
      <w:ind w:left="720"/>
      <w:contextualSpacing/>
    </w:pPr>
  </w:style>
  <w:style w:type="character" w:styleId="IntenseEmphasis">
    <w:name w:val="Intense Emphasis"/>
    <w:basedOn w:val="DefaultParagraphFont"/>
    <w:uiPriority w:val="21"/>
    <w:qFormat/>
    <w:rsid w:val="00181BC1"/>
    <w:rPr>
      <w:i/>
      <w:iCs/>
      <w:color w:val="0F4761" w:themeColor="accent1" w:themeShade="BF"/>
    </w:rPr>
  </w:style>
  <w:style w:type="paragraph" w:styleId="IntenseQuote">
    <w:name w:val="Intense Quote"/>
    <w:basedOn w:val="Normal"/>
    <w:next w:val="Normal"/>
    <w:link w:val="IntenseQuoteChar"/>
    <w:uiPriority w:val="30"/>
    <w:qFormat/>
    <w:rsid w:val="00181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BC1"/>
    <w:rPr>
      <w:i/>
      <w:iCs/>
      <w:color w:val="0F4761" w:themeColor="accent1" w:themeShade="BF"/>
    </w:rPr>
  </w:style>
  <w:style w:type="character" w:styleId="IntenseReference">
    <w:name w:val="Intense Reference"/>
    <w:basedOn w:val="DefaultParagraphFont"/>
    <w:uiPriority w:val="32"/>
    <w:qFormat/>
    <w:rsid w:val="00181BC1"/>
    <w:rPr>
      <w:b/>
      <w:bCs/>
      <w:smallCaps/>
      <w:color w:val="0F4761" w:themeColor="accent1" w:themeShade="BF"/>
      <w:spacing w:val="5"/>
    </w:rPr>
  </w:style>
  <w:style w:type="paragraph" w:customStyle="1" w:styleId="Akapitzlist1">
    <w:name w:val="Akapit z listą1"/>
    <w:basedOn w:val="Normal"/>
    <w:rsid w:val="00181BC1"/>
    <w:pPr>
      <w:widowControl w:val="0"/>
      <w:suppressAutoHyphens/>
      <w:spacing w:after="200" w:line="276" w:lineRule="auto"/>
      <w:ind w:left="720"/>
    </w:pPr>
    <w:rPr>
      <w:rFonts w:ascii="Calibri" w:eastAsia="SimSun" w:hAnsi="Calibri" w:cs="Calibri"/>
      <w:kern w:val="1"/>
      <w:sz w:val="22"/>
      <w:szCs w:val="22"/>
      <w:lang w:val="pl-PL" w:eastAsia="hi-IN" w:bidi="hi-IN"/>
    </w:rPr>
  </w:style>
  <w:style w:type="paragraph" w:customStyle="1" w:styleId="ListParagraph1">
    <w:name w:val="List Paragraph1"/>
    <w:basedOn w:val="Normal"/>
    <w:rsid w:val="00181BC1"/>
    <w:pPr>
      <w:suppressAutoHyphens/>
      <w:ind w:left="720"/>
      <w:contextualSpacing/>
    </w:pPr>
    <w:rPr>
      <w:kern w:val="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2</cp:revision>
  <dcterms:created xsi:type="dcterms:W3CDTF">2025-08-22T13:57:00Z</dcterms:created>
  <dcterms:modified xsi:type="dcterms:W3CDTF">2025-08-22T14:00:00Z</dcterms:modified>
</cp:coreProperties>
</file>