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4825" w14:textId="61DE1422" w:rsidR="004223B5" w:rsidRDefault="004223B5" w:rsidP="004223B5">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r w:rsidRPr="004223B5">
        <w:rPr>
          <w:rFonts w:ascii="Arial" w:eastAsia="Arial" w:hAnsi="Arial" w:cs="Calibri Light"/>
          <w:color w:val="008080"/>
          <w:sz w:val="48"/>
          <w:szCs w:val="48"/>
          <w:lang w:val="en-US"/>
        </w:rPr>
        <w:t>Global Governance and International Organizations</w:t>
      </w:r>
    </w:p>
    <w:p w14:paraId="575E1128" w14:textId="77777777" w:rsidR="004223B5" w:rsidRPr="004223B5" w:rsidRDefault="004223B5" w:rsidP="004223B5">
      <w:pPr>
        <w:widowControl w:val="0"/>
        <w:tabs>
          <w:tab w:val="left" w:pos="8593"/>
        </w:tabs>
        <w:autoSpaceDE w:val="0"/>
        <w:autoSpaceDN w:val="0"/>
        <w:spacing w:before="120" w:after="360"/>
        <w:ind w:right="196"/>
        <w:contextualSpacing/>
        <w:rPr>
          <w:rFonts w:ascii="Arial" w:eastAsia="Arial" w:hAnsi="Arial" w:cs="Calibri Light"/>
          <w:color w:val="008080"/>
          <w:sz w:val="48"/>
          <w:szCs w:val="48"/>
          <w:lang w:val="en-US"/>
        </w:rPr>
      </w:pPr>
    </w:p>
    <w:tbl>
      <w:tblPr>
        <w:tblStyle w:val="TableGridLight1"/>
        <w:tblW w:w="5000" w:type="pct"/>
        <w:tblLayout w:type="fixed"/>
        <w:tblLook w:val="01E0" w:firstRow="1" w:lastRow="1" w:firstColumn="1" w:lastColumn="1" w:noHBand="0" w:noVBand="0"/>
      </w:tblPr>
      <w:tblGrid>
        <w:gridCol w:w="9010"/>
      </w:tblGrid>
      <w:tr w:rsidR="004223B5" w:rsidRPr="004223B5" w14:paraId="513A93D2" w14:textId="77777777" w:rsidTr="004223B5">
        <w:trPr>
          <w:trHeight w:val="397"/>
        </w:trPr>
        <w:tc>
          <w:tcPr>
            <w:tcW w:w="5000" w:type="pct"/>
          </w:tcPr>
          <w:p w14:paraId="29EBAC37"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b/>
              </w:rPr>
              <w:t>Credit level:</w:t>
            </w:r>
            <w:r w:rsidRPr="004223B5">
              <w:rPr>
                <w:rFonts w:ascii="Arial" w:eastAsia="Arial" w:hAnsi="Arial" w:cs="Arial"/>
                <w:i/>
                <w:iCs/>
                <w:color w:val="C00000"/>
                <w:spacing w:val="-9"/>
              </w:rPr>
              <w:t xml:space="preserve"> </w:t>
            </w:r>
            <w:r w:rsidRPr="004223B5">
              <w:rPr>
                <w:rFonts w:ascii="Arial" w:eastAsia="Arial" w:hAnsi="Arial" w:cs="Arial"/>
                <w:spacing w:val="-9"/>
              </w:rPr>
              <w:t>5</w:t>
            </w:r>
          </w:p>
        </w:tc>
      </w:tr>
      <w:tr w:rsidR="004223B5" w:rsidRPr="004223B5" w14:paraId="3FA2A6C2" w14:textId="77777777" w:rsidTr="004223B5">
        <w:trPr>
          <w:trHeight w:val="397"/>
        </w:trPr>
        <w:tc>
          <w:tcPr>
            <w:tcW w:w="5000" w:type="pct"/>
          </w:tcPr>
          <w:p w14:paraId="4F45B0F6" w14:textId="77777777" w:rsidR="004223B5" w:rsidRPr="004223B5" w:rsidRDefault="004223B5" w:rsidP="004223B5">
            <w:pPr>
              <w:spacing w:before="80" w:after="80"/>
              <w:contextualSpacing/>
              <w:rPr>
                <w:rFonts w:ascii="Arial" w:eastAsia="Arial" w:hAnsi="Arial" w:cs="Arial"/>
                <w:b/>
              </w:rPr>
            </w:pPr>
            <w:r w:rsidRPr="004223B5">
              <w:rPr>
                <w:rFonts w:ascii="Arial" w:eastAsia="Arial" w:hAnsi="Arial" w:cs="Arial"/>
                <w:b/>
              </w:rPr>
              <w:t>Length:</w:t>
            </w:r>
            <w:r w:rsidRPr="004223B5">
              <w:rPr>
                <w:rFonts w:ascii="Arial" w:eastAsia="Arial" w:hAnsi="Arial" w:cs="Arial"/>
              </w:rPr>
              <w:t xml:space="preserve">  </w:t>
            </w:r>
            <w:r w:rsidRPr="004223B5">
              <w:rPr>
                <w:rFonts w:ascii="Arial" w:eastAsia="Arial" w:hAnsi="Arial" w:cs="Arial"/>
                <w:bCs/>
              </w:rPr>
              <w:t>Semester 2</w:t>
            </w:r>
          </w:p>
        </w:tc>
      </w:tr>
      <w:tr w:rsidR="004223B5" w:rsidRPr="004223B5" w14:paraId="56C017C1" w14:textId="77777777" w:rsidTr="004223B5">
        <w:trPr>
          <w:trHeight w:val="397"/>
        </w:trPr>
        <w:tc>
          <w:tcPr>
            <w:tcW w:w="5000" w:type="pct"/>
          </w:tcPr>
          <w:p w14:paraId="5FE1066B" w14:textId="68CE8837" w:rsidR="004223B5" w:rsidRPr="004223B5" w:rsidRDefault="004223B5" w:rsidP="004223B5">
            <w:pPr>
              <w:spacing w:before="80" w:after="80"/>
              <w:contextualSpacing/>
              <w:rPr>
                <w:rFonts w:ascii="Arial" w:eastAsia="Arial" w:hAnsi="Arial" w:cs="Arial"/>
                <w:bCs/>
              </w:rPr>
            </w:pPr>
            <w:r w:rsidRPr="004223B5">
              <w:rPr>
                <w:rFonts w:ascii="Arial" w:eastAsia="Arial" w:hAnsi="Arial" w:cs="Arial"/>
                <w:b/>
              </w:rPr>
              <w:t xml:space="preserve">ECTS credit value: </w:t>
            </w:r>
            <w:r>
              <w:rPr>
                <w:rFonts w:ascii="Arial" w:eastAsia="Arial" w:hAnsi="Arial" w:cs="Arial"/>
                <w:bCs/>
              </w:rPr>
              <w:t>8</w:t>
            </w:r>
          </w:p>
        </w:tc>
      </w:tr>
      <w:tr w:rsidR="004223B5" w:rsidRPr="004223B5" w14:paraId="429CEB7F" w14:textId="77777777" w:rsidTr="004223B5">
        <w:trPr>
          <w:trHeight w:val="397"/>
        </w:trPr>
        <w:tc>
          <w:tcPr>
            <w:tcW w:w="5000" w:type="pct"/>
          </w:tcPr>
          <w:p w14:paraId="225C1BA2" w14:textId="77777777" w:rsidR="004223B5" w:rsidRPr="004223B5" w:rsidRDefault="004223B5" w:rsidP="004223B5">
            <w:pPr>
              <w:spacing w:before="192" w:after="80"/>
              <w:contextualSpacing/>
              <w:rPr>
                <w:rFonts w:ascii="Arial" w:eastAsia="Arial" w:hAnsi="Arial" w:cs="Arial"/>
              </w:rPr>
            </w:pPr>
            <w:r w:rsidRPr="004223B5">
              <w:rPr>
                <w:rFonts w:ascii="Arial" w:eastAsia="Arial" w:hAnsi="Arial" w:cs="Arial"/>
                <w:b/>
              </w:rPr>
              <w:t xml:space="preserve">College and School: </w:t>
            </w:r>
            <w:r w:rsidRPr="004223B5">
              <w:rPr>
                <w:rFonts w:ascii="Arial" w:eastAsia="Arial" w:hAnsi="Arial" w:cs="Arial"/>
                <w:bCs/>
              </w:rPr>
              <w:t xml:space="preserve">Lazarski University in Warsaw, Faculty of Economics and Management </w:t>
            </w:r>
          </w:p>
        </w:tc>
      </w:tr>
      <w:tr w:rsidR="004223B5" w:rsidRPr="004223B5" w14:paraId="2AAA41F9" w14:textId="77777777" w:rsidTr="004223B5">
        <w:trPr>
          <w:trHeight w:val="397"/>
        </w:trPr>
        <w:tc>
          <w:tcPr>
            <w:tcW w:w="5000" w:type="pct"/>
          </w:tcPr>
          <w:p w14:paraId="19033238" w14:textId="77777777" w:rsidR="004223B5" w:rsidRPr="004223B5" w:rsidRDefault="004223B5" w:rsidP="004223B5">
            <w:pPr>
              <w:spacing w:before="192" w:after="80"/>
              <w:contextualSpacing/>
              <w:rPr>
                <w:rFonts w:ascii="Arial" w:eastAsia="Arial" w:hAnsi="Arial" w:cs="Arial"/>
                <w:b/>
              </w:rPr>
            </w:pPr>
            <w:r w:rsidRPr="004223B5">
              <w:rPr>
                <w:rFonts w:ascii="Arial" w:eastAsia="Arial" w:hAnsi="Arial" w:cs="Arial"/>
                <w:b/>
              </w:rPr>
              <w:t xml:space="preserve">Module Leader: </w:t>
            </w:r>
            <w:r w:rsidRPr="004223B5">
              <w:rPr>
                <w:rFonts w:ascii="Arial" w:eastAsia="Arial" w:hAnsi="Arial" w:cs="Arial"/>
                <w:bCs/>
              </w:rPr>
              <w:t>prof. Paweł Borkowski</w:t>
            </w:r>
          </w:p>
        </w:tc>
      </w:tr>
      <w:tr w:rsidR="004223B5" w:rsidRPr="004223B5" w14:paraId="1A55188A" w14:textId="77777777" w:rsidTr="004223B5">
        <w:trPr>
          <w:trHeight w:val="397"/>
        </w:trPr>
        <w:tc>
          <w:tcPr>
            <w:tcW w:w="5000" w:type="pct"/>
          </w:tcPr>
          <w:p w14:paraId="60B1A6B3" w14:textId="77777777" w:rsidR="004223B5" w:rsidRPr="004223B5" w:rsidRDefault="004223B5" w:rsidP="004223B5">
            <w:pPr>
              <w:spacing w:before="80" w:after="80"/>
              <w:contextualSpacing/>
              <w:rPr>
                <w:rFonts w:ascii="Arial" w:eastAsia="Arial" w:hAnsi="Arial" w:cs="Arial"/>
                <w:b/>
                <w:bCs/>
              </w:rPr>
            </w:pPr>
            <w:r w:rsidRPr="004223B5">
              <w:rPr>
                <w:rFonts w:ascii="Arial" w:eastAsia="Arial" w:hAnsi="Arial" w:cs="Arial"/>
                <w:b/>
                <w:bCs/>
              </w:rPr>
              <w:t xml:space="preserve">Host Course: </w:t>
            </w:r>
            <w:r w:rsidRPr="004223B5">
              <w:rPr>
                <w:rFonts w:ascii="Arial" w:eastAsia="Arial" w:hAnsi="Arial" w:cs="Arial"/>
              </w:rPr>
              <w:t xml:space="preserve">BA International Relations </w:t>
            </w:r>
          </w:p>
        </w:tc>
      </w:tr>
      <w:tr w:rsidR="004223B5" w:rsidRPr="004223B5" w14:paraId="2C319610" w14:textId="77777777" w:rsidTr="004223B5">
        <w:trPr>
          <w:trHeight w:val="397"/>
        </w:trPr>
        <w:tc>
          <w:tcPr>
            <w:tcW w:w="5000" w:type="pct"/>
          </w:tcPr>
          <w:p w14:paraId="04D9A23C" w14:textId="77777777" w:rsidR="004223B5" w:rsidRPr="004223B5" w:rsidRDefault="004223B5" w:rsidP="004223B5">
            <w:pPr>
              <w:spacing w:before="80" w:after="80"/>
              <w:contextualSpacing/>
              <w:rPr>
                <w:rFonts w:ascii="Arial" w:eastAsia="Arial" w:hAnsi="Arial" w:cs="Arial"/>
                <w:b/>
              </w:rPr>
            </w:pPr>
            <w:r w:rsidRPr="004223B5">
              <w:rPr>
                <w:rFonts w:ascii="Arial" w:eastAsia="Arial" w:hAnsi="Arial" w:cs="Arial"/>
                <w:b/>
              </w:rPr>
              <w:t xml:space="preserve">Pre-requisites: </w:t>
            </w:r>
            <w:r w:rsidRPr="004223B5">
              <w:rPr>
                <w:rFonts w:ascii="Arial" w:eastAsia="Arial" w:hAnsi="Arial" w:cs="Arial"/>
                <w:bCs/>
              </w:rPr>
              <w:t>N/A</w:t>
            </w:r>
          </w:p>
        </w:tc>
      </w:tr>
      <w:tr w:rsidR="004223B5" w:rsidRPr="004223B5" w14:paraId="6B632517" w14:textId="77777777" w:rsidTr="004223B5">
        <w:trPr>
          <w:trHeight w:val="397"/>
        </w:trPr>
        <w:tc>
          <w:tcPr>
            <w:tcW w:w="5000" w:type="pct"/>
          </w:tcPr>
          <w:p w14:paraId="0556BB7C" w14:textId="77777777" w:rsidR="004223B5" w:rsidRPr="004223B5" w:rsidRDefault="004223B5" w:rsidP="004223B5">
            <w:pPr>
              <w:spacing w:before="80" w:after="80"/>
              <w:contextualSpacing/>
              <w:rPr>
                <w:rFonts w:ascii="Arial" w:eastAsia="Arial" w:hAnsi="Arial" w:cs="Arial"/>
                <w:b/>
              </w:rPr>
            </w:pPr>
            <w:r w:rsidRPr="004223B5">
              <w:rPr>
                <w:rFonts w:ascii="Arial" w:eastAsia="Arial" w:hAnsi="Arial" w:cs="Arial"/>
                <w:b/>
              </w:rPr>
              <w:t>Co-requisites:</w:t>
            </w:r>
            <w:r w:rsidRPr="004223B5">
              <w:rPr>
                <w:rFonts w:ascii="Arial" w:eastAsia="Arial" w:hAnsi="Arial" w:cs="Arial"/>
                <w:i/>
                <w:bdr w:val="none" w:sz="0" w:space="0" w:color="auto" w:frame="1"/>
              </w:rPr>
              <w:t xml:space="preserve"> </w:t>
            </w:r>
            <w:r w:rsidRPr="004223B5">
              <w:rPr>
                <w:rFonts w:ascii="Arial" w:eastAsia="Arial" w:hAnsi="Arial" w:cs="Arial"/>
                <w:bCs/>
              </w:rPr>
              <w:t>N/A</w:t>
            </w:r>
          </w:p>
        </w:tc>
      </w:tr>
      <w:tr w:rsidR="004223B5" w:rsidRPr="004223B5" w14:paraId="1CDC9853" w14:textId="77777777" w:rsidTr="004223B5">
        <w:trPr>
          <w:trHeight w:val="397"/>
        </w:trPr>
        <w:tc>
          <w:tcPr>
            <w:tcW w:w="5000" w:type="pct"/>
          </w:tcPr>
          <w:p w14:paraId="529AEF56" w14:textId="77777777" w:rsidR="004223B5" w:rsidRPr="004223B5" w:rsidRDefault="004223B5" w:rsidP="004223B5">
            <w:pPr>
              <w:spacing w:before="80" w:after="80"/>
              <w:contextualSpacing/>
              <w:rPr>
                <w:rFonts w:ascii="Arial" w:eastAsia="Arial" w:hAnsi="Arial" w:cs="Arial"/>
                <w:b/>
              </w:rPr>
            </w:pPr>
            <w:r w:rsidRPr="004223B5">
              <w:rPr>
                <w:rFonts w:ascii="Arial" w:eastAsia="Arial" w:hAnsi="Arial" w:cs="Arial"/>
                <w:b/>
              </w:rPr>
              <w:t>Special features:</w:t>
            </w:r>
            <w:r w:rsidRPr="004223B5">
              <w:rPr>
                <w:rFonts w:ascii="Arial" w:eastAsia="Arial" w:hAnsi="Arial" w:cs="Arial"/>
                <w:b/>
                <w:bCs/>
                <w:i/>
                <w:iCs/>
                <w:shd w:val="clear" w:color="auto" w:fill="FFFFFF"/>
              </w:rPr>
              <w:t xml:space="preserve"> </w:t>
            </w:r>
            <w:r w:rsidRPr="004223B5">
              <w:rPr>
                <w:rFonts w:ascii="Arial" w:eastAsia="Arial" w:hAnsi="Arial" w:cs="Arial"/>
                <w:bCs/>
              </w:rPr>
              <w:t>N/A</w:t>
            </w:r>
          </w:p>
        </w:tc>
      </w:tr>
      <w:tr w:rsidR="004223B5" w:rsidRPr="004223B5" w14:paraId="204DAE56" w14:textId="77777777" w:rsidTr="004223B5">
        <w:trPr>
          <w:trHeight w:val="397"/>
        </w:trPr>
        <w:tc>
          <w:tcPr>
            <w:tcW w:w="5000" w:type="pct"/>
          </w:tcPr>
          <w:p w14:paraId="55CC7913" w14:textId="77777777" w:rsidR="004223B5" w:rsidRPr="004223B5" w:rsidRDefault="004223B5" w:rsidP="004223B5">
            <w:pPr>
              <w:spacing w:before="80" w:after="80"/>
              <w:contextualSpacing/>
              <w:rPr>
                <w:rFonts w:ascii="Arial" w:eastAsia="Arial" w:hAnsi="Arial" w:cs="Arial"/>
                <w:b/>
              </w:rPr>
            </w:pPr>
            <w:r w:rsidRPr="004223B5">
              <w:rPr>
                <w:rFonts w:ascii="Arial" w:eastAsia="Arial" w:hAnsi="Arial" w:cs="Arial"/>
                <w:b/>
              </w:rPr>
              <w:t>Access restrictions:</w:t>
            </w:r>
            <w:r w:rsidRPr="004223B5">
              <w:rPr>
                <w:rFonts w:ascii="Arial" w:eastAsia="Arial" w:hAnsi="Arial" w:cs="Arial"/>
                <w:i/>
                <w:bdr w:val="none" w:sz="0" w:space="0" w:color="auto" w:frame="1"/>
              </w:rPr>
              <w:t xml:space="preserve"> </w:t>
            </w:r>
            <w:r w:rsidRPr="004223B5">
              <w:rPr>
                <w:rFonts w:ascii="Arial" w:eastAsia="Arial" w:hAnsi="Arial" w:cs="Arial"/>
                <w:bCs/>
              </w:rPr>
              <w:t>N/A</w:t>
            </w:r>
          </w:p>
        </w:tc>
      </w:tr>
      <w:tr w:rsidR="004223B5" w:rsidRPr="004223B5" w14:paraId="70BAC7BE" w14:textId="77777777" w:rsidTr="004223B5">
        <w:trPr>
          <w:trHeight w:val="397"/>
        </w:trPr>
        <w:tc>
          <w:tcPr>
            <w:tcW w:w="5000" w:type="pct"/>
          </w:tcPr>
          <w:p w14:paraId="2C41BB4A" w14:textId="77777777" w:rsidR="004223B5" w:rsidRPr="004223B5" w:rsidRDefault="004223B5" w:rsidP="004223B5">
            <w:pPr>
              <w:spacing w:before="80" w:after="80"/>
              <w:contextualSpacing/>
              <w:jc w:val="both"/>
              <w:rPr>
                <w:rFonts w:ascii="Arial" w:eastAsia="Arial" w:hAnsi="Arial" w:cs="Arial"/>
                <w:bCs/>
                <w:lang w:val="en-GB"/>
              </w:rPr>
            </w:pPr>
            <w:r w:rsidRPr="004223B5">
              <w:rPr>
                <w:rFonts w:ascii="Arial" w:eastAsia="Arial" w:hAnsi="Arial" w:cs="Arial"/>
                <w:b/>
              </w:rPr>
              <w:t xml:space="preserve">Summary of module content: </w:t>
            </w:r>
            <w:r w:rsidRPr="004223B5">
              <w:rPr>
                <w:rFonts w:ascii="Arial" w:eastAsia="Arial" w:hAnsi="Arial" w:cs="Arial"/>
                <w:bCs/>
                <w:szCs w:val="21"/>
                <w:lang w:val="en-GB"/>
              </w:rPr>
              <w:t xml:space="preserve">The module presents the variety of institutions engaged in the governance of late-Westphalian international order. After presenting the concept of global governance and logic of cooperation of different groups of actors in IR to solve global challenges the module focuses on three main categories of institutions. International organisations are presented in their variety of forms and functions, including United Nations, World Bank and Amnesty International, followed by other forms of cooperation that </w:t>
            </w:r>
            <w:proofErr w:type="gramStart"/>
            <w:r w:rsidRPr="004223B5">
              <w:rPr>
                <w:rFonts w:ascii="Arial" w:eastAsia="Arial" w:hAnsi="Arial" w:cs="Arial"/>
                <w:bCs/>
                <w:szCs w:val="21"/>
                <w:lang w:val="en-GB"/>
              </w:rPr>
              <w:t>gather together</w:t>
            </w:r>
            <w:proofErr w:type="gramEnd"/>
            <w:r w:rsidRPr="004223B5">
              <w:rPr>
                <w:rFonts w:ascii="Arial" w:eastAsia="Arial" w:hAnsi="Arial" w:cs="Arial"/>
                <w:bCs/>
                <w:szCs w:val="21"/>
                <w:lang w:val="en-GB"/>
              </w:rPr>
              <w:t xml:space="preserve"> public and private entities (G7 and World Economic Forum). The last part focuses on multinational corporations and civil society groups that shape global public opinion and influence world affairs. </w:t>
            </w:r>
          </w:p>
        </w:tc>
      </w:tr>
    </w:tbl>
    <w:p w14:paraId="488DB743" w14:textId="77777777" w:rsidR="004223B5" w:rsidRPr="004223B5" w:rsidRDefault="004223B5" w:rsidP="004223B5">
      <w:pPr>
        <w:widowControl w:val="0"/>
        <w:autoSpaceDE w:val="0"/>
        <w:autoSpaceDN w:val="0"/>
        <w:spacing w:before="240" w:after="240"/>
        <w:outlineLvl w:val="0"/>
        <w:rPr>
          <w:rFonts w:ascii="Arial" w:eastAsia="Arial" w:hAnsi="Arial" w:cs="Arial"/>
          <w:b/>
          <w:bCs/>
          <w:sz w:val="32"/>
          <w:szCs w:val="36"/>
          <w:lang w:val="en-US"/>
        </w:rPr>
      </w:pPr>
    </w:p>
    <w:p w14:paraId="7FBC6D1D" w14:textId="77777777" w:rsidR="004223B5" w:rsidRPr="004223B5" w:rsidRDefault="004223B5" w:rsidP="004223B5">
      <w:pPr>
        <w:widowControl w:val="0"/>
        <w:autoSpaceDE w:val="0"/>
        <w:autoSpaceDN w:val="0"/>
        <w:spacing w:before="240" w:after="240"/>
        <w:outlineLvl w:val="0"/>
        <w:rPr>
          <w:rFonts w:ascii="Arial" w:eastAsia="Arial" w:hAnsi="Arial" w:cs="Arial"/>
          <w:b/>
          <w:bCs/>
          <w:sz w:val="32"/>
          <w:szCs w:val="36"/>
          <w:lang w:val="en-US"/>
        </w:rPr>
      </w:pPr>
    </w:p>
    <w:p w14:paraId="7AB2E153" w14:textId="77777777" w:rsidR="004223B5" w:rsidRPr="004223B5" w:rsidRDefault="004223B5" w:rsidP="004223B5">
      <w:pPr>
        <w:widowControl w:val="0"/>
        <w:autoSpaceDE w:val="0"/>
        <w:autoSpaceDN w:val="0"/>
        <w:spacing w:before="240" w:after="240"/>
        <w:outlineLvl w:val="0"/>
        <w:rPr>
          <w:rFonts w:ascii="Arial" w:eastAsia="Arial" w:hAnsi="Arial" w:cs="Arial"/>
          <w:b/>
          <w:bCs/>
          <w:sz w:val="32"/>
          <w:szCs w:val="36"/>
          <w:lang w:val="en-US"/>
        </w:rPr>
      </w:pPr>
    </w:p>
    <w:p w14:paraId="2D2DEABB" w14:textId="77777777" w:rsidR="004223B5" w:rsidRDefault="004223B5">
      <w:pPr>
        <w:rPr>
          <w:rFonts w:ascii="Arial" w:eastAsia="Arial" w:hAnsi="Arial" w:cs="Arial"/>
          <w:b/>
          <w:bCs/>
          <w:sz w:val="32"/>
          <w:szCs w:val="36"/>
          <w:lang w:val="en-US"/>
        </w:rPr>
      </w:pPr>
      <w:r>
        <w:rPr>
          <w:rFonts w:ascii="Arial" w:eastAsia="Arial" w:hAnsi="Arial" w:cs="Arial"/>
          <w:b/>
          <w:bCs/>
          <w:sz w:val="32"/>
          <w:szCs w:val="36"/>
          <w:lang w:val="en-US"/>
        </w:rPr>
        <w:br w:type="page"/>
      </w:r>
    </w:p>
    <w:p w14:paraId="3B7B2DA8" w14:textId="104E76BD" w:rsidR="004223B5" w:rsidRPr="004223B5" w:rsidRDefault="004223B5" w:rsidP="004223B5">
      <w:pPr>
        <w:widowControl w:val="0"/>
        <w:autoSpaceDE w:val="0"/>
        <w:autoSpaceDN w:val="0"/>
        <w:spacing w:before="240" w:after="240"/>
        <w:outlineLvl w:val="0"/>
        <w:rPr>
          <w:rFonts w:ascii="Arial" w:eastAsia="Arial" w:hAnsi="Arial" w:cs="Arial"/>
          <w:b/>
          <w:bCs/>
          <w:sz w:val="32"/>
          <w:szCs w:val="36"/>
          <w:lang w:val="en-US"/>
        </w:rPr>
      </w:pPr>
      <w:r w:rsidRPr="004223B5">
        <w:rPr>
          <w:rFonts w:ascii="Arial" w:eastAsia="Arial" w:hAnsi="Arial" w:cs="Arial"/>
          <w:b/>
          <w:bCs/>
          <w:sz w:val="32"/>
          <w:szCs w:val="36"/>
          <w:lang w:val="en-US"/>
        </w:rPr>
        <w:lastRenderedPageBreak/>
        <w:t>Assessment Methods</w:t>
      </w:r>
      <w:r w:rsidRPr="004223B5">
        <w:rPr>
          <w:rFonts w:ascii="Arial" w:eastAsia="Arial" w:hAnsi="Arial" w:cs="Arial"/>
          <w:i/>
          <w:iCs/>
          <w:color w:val="C00000"/>
          <w:sz w:val="22"/>
          <w:szCs w:val="22"/>
          <w:shd w:val="clear" w:color="auto" w:fill="FFFFFF"/>
          <w:lang w:val="en-US"/>
        </w:rPr>
        <w:t xml:space="preserve">.  </w:t>
      </w:r>
    </w:p>
    <w:tbl>
      <w:tblPr>
        <w:tblStyle w:val="GridTable1Light1"/>
        <w:tblW w:w="8500" w:type="dxa"/>
        <w:tblLayout w:type="fixed"/>
        <w:tblCellMar>
          <w:top w:w="28" w:type="dxa"/>
          <w:left w:w="85" w:type="dxa"/>
          <w:bottom w:w="28" w:type="dxa"/>
          <w:right w:w="85" w:type="dxa"/>
        </w:tblCellMar>
        <w:tblLook w:val="06A0" w:firstRow="1" w:lastRow="0" w:firstColumn="1" w:lastColumn="0" w:noHBand="1" w:noVBand="1"/>
      </w:tblPr>
      <w:tblGrid>
        <w:gridCol w:w="846"/>
        <w:gridCol w:w="1701"/>
        <w:gridCol w:w="1984"/>
        <w:gridCol w:w="1276"/>
        <w:gridCol w:w="2693"/>
      </w:tblGrid>
      <w:tr w:rsidR="004223B5" w:rsidRPr="004223B5" w14:paraId="58B4A9A8" w14:textId="77777777" w:rsidTr="00FE71E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6" w:type="dxa"/>
          </w:tcPr>
          <w:p w14:paraId="7F934D49" w14:textId="77777777" w:rsidR="004223B5" w:rsidRPr="004223B5" w:rsidRDefault="004223B5" w:rsidP="004223B5">
            <w:pPr>
              <w:spacing w:after="80"/>
              <w:contextualSpacing/>
              <w:rPr>
                <w:rFonts w:ascii="Arial" w:eastAsia="Arial" w:hAnsi="Arial" w:cs="Arial"/>
              </w:rPr>
            </w:pPr>
            <w:r w:rsidRPr="004223B5">
              <w:rPr>
                <w:rFonts w:ascii="Arial" w:eastAsia="Arial" w:hAnsi="Arial" w:cs="Arial"/>
              </w:rPr>
              <w:t>Rank</w:t>
            </w:r>
          </w:p>
        </w:tc>
        <w:tc>
          <w:tcPr>
            <w:tcW w:w="1701" w:type="dxa"/>
          </w:tcPr>
          <w:p w14:paraId="5108DFC1" w14:textId="77777777" w:rsidR="004223B5" w:rsidRPr="004223B5" w:rsidRDefault="004223B5" w:rsidP="004223B5">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Assessment type</w:t>
            </w:r>
          </w:p>
        </w:tc>
        <w:tc>
          <w:tcPr>
            <w:tcW w:w="1984" w:type="dxa"/>
          </w:tcPr>
          <w:p w14:paraId="5C7CE114" w14:textId="77777777" w:rsidR="004223B5" w:rsidRPr="004223B5" w:rsidRDefault="004223B5" w:rsidP="004223B5">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Assessment name</w:t>
            </w:r>
          </w:p>
        </w:tc>
        <w:tc>
          <w:tcPr>
            <w:tcW w:w="1276" w:type="dxa"/>
          </w:tcPr>
          <w:p w14:paraId="3DD3A0AC" w14:textId="77777777" w:rsidR="004223B5" w:rsidRPr="004223B5" w:rsidRDefault="004223B5" w:rsidP="004223B5">
            <w:pPr>
              <w:spacing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Weighting</w:t>
            </w:r>
          </w:p>
        </w:tc>
        <w:tc>
          <w:tcPr>
            <w:tcW w:w="2693" w:type="dxa"/>
          </w:tcPr>
          <w:p w14:paraId="7AC7A93E" w14:textId="77777777" w:rsidR="004223B5" w:rsidRPr="004223B5" w:rsidRDefault="004223B5" w:rsidP="004223B5">
            <w:pPr>
              <w:spacing w:after="80"/>
              <w:ind w:left="81" w:right="5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spacing w:val="1"/>
              </w:rPr>
            </w:pPr>
            <w:r w:rsidRPr="004223B5">
              <w:rPr>
                <w:rFonts w:ascii="Arial" w:eastAsia="Arial" w:hAnsi="Arial" w:cs="Arial"/>
              </w:rPr>
              <w:t>Qualifying set</w:t>
            </w:r>
            <w:r w:rsidRPr="004223B5">
              <w:rPr>
                <w:rFonts w:ascii="Arial" w:eastAsia="Arial" w:hAnsi="Arial" w:cs="Arial"/>
                <w:spacing w:val="1"/>
              </w:rPr>
              <w:t xml:space="preserve"> </w:t>
            </w:r>
            <w:r w:rsidRPr="004223B5">
              <w:rPr>
                <w:rFonts w:ascii="Arial" w:eastAsia="Arial" w:hAnsi="Arial" w:cs="Arial"/>
              </w:rPr>
              <w:t>(where the</w:t>
            </w:r>
            <w:r w:rsidRPr="004223B5">
              <w:rPr>
                <w:rFonts w:ascii="Arial" w:eastAsia="Arial" w:hAnsi="Arial" w:cs="Arial"/>
                <w:spacing w:val="1"/>
              </w:rPr>
              <w:t xml:space="preserve"> </w:t>
            </w:r>
            <w:r w:rsidRPr="004223B5">
              <w:rPr>
                <w:rFonts w:ascii="Arial" w:eastAsia="Arial" w:hAnsi="Arial" w:cs="Arial"/>
              </w:rPr>
              <w:t>minimum mark</w:t>
            </w:r>
            <w:r w:rsidRPr="004223B5">
              <w:rPr>
                <w:rFonts w:ascii="Arial" w:eastAsia="Arial" w:hAnsi="Arial" w:cs="Arial"/>
                <w:spacing w:val="1"/>
              </w:rPr>
              <w:t xml:space="preserve"> </w:t>
            </w:r>
            <w:r w:rsidRPr="004223B5">
              <w:rPr>
                <w:rFonts w:ascii="Arial" w:eastAsia="Arial" w:hAnsi="Arial" w:cs="Arial"/>
              </w:rPr>
              <w:t>required applies across multiple</w:t>
            </w:r>
            <w:r w:rsidRPr="004223B5">
              <w:rPr>
                <w:rFonts w:ascii="Arial" w:eastAsia="Arial" w:hAnsi="Arial" w:cs="Arial"/>
                <w:spacing w:val="1"/>
              </w:rPr>
              <w:t xml:space="preserve"> </w:t>
            </w:r>
            <w:r w:rsidRPr="004223B5">
              <w:rPr>
                <w:rFonts w:ascii="Arial" w:eastAsia="Arial" w:hAnsi="Arial" w:cs="Arial"/>
              </w:rPr>
              <w:t>assessments)</w:t>
            </w:r>
          </w:p>
        </w:tc>
      </w:tr>
      <w:tr w:rsidR="004223B5" w:rsidRPr="004223B5" w14:paraId="365084E6"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25DD6EB8" w14:textId="77777777" w:rsidR="004223B5" w:rsidRPr="004223B5" w:rsidRDefault="004223B5" w:rsidP="004223B5">
            <w:pPr>
              <w:spacing w:after="80"/>
              <w:contextualSpacing/>
              <w:rPr>
                <w:rFonts w:ascii="Arial" w:eastAsia="Arial" w:hAnsi="Arial" w:cs="Arial"/>
              </w:rPr>
            </w:pPr>
            <w:r w:rsidRPr="004223B5">
              <w:rPr>
                <w:rFonts w:ascii="Arial" w:eastAsia="Arial" w:hAnsi="Arial" w:cs="Arial"/>
              </w:rPr>
              <w:t>2</w:t>
            </w:r>
          </w:p>
        </w:tc>
        <w:tc>
          <w:tcPr>
            <w:tcW w:w="1701" w:type="dxa"/>
          </w:tcPr>
          <w:p w14:paraId="3AED56C5" w14:textId="77777777" w:rsidR="004223B5" w:rsidRPr="004223B5" w:rsidRDefault="004223B5" w:rsidP="004223B5">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Coursework</w:t>
            </w:r>
          </w:p>
        </w:tc>
        <w:tc>
          <w:tcPr>
            <w:tcW w:w="1984" w:type="dxa"/>
          </w:tcPr>
          <w:p w14:paraId="3E2699CF" w14:textId="77777777" w:rsidR="004223B5" w:rsidRPr="004223B5" w:rsidRDefault="004223B5" w:rsidP="004223B5">
            <w:pPr>
              <w:spacing w:after="8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yellow"/>
              </w:rPr>
            </w:pPr>
            <w:r w:rsidRPr="004223B5">
              <w:rPr>
                <w:rFonts w:ascii="Arial" w:eastAsia="Arial" w:hAnsi="Arial" w:cs="Arial"/>
              </w:rPr>
              <w:t>Policy Brief</w:t>
            </w:r>
          </w:p>
        </w:tc>
        <w:tc>
          <w:tcPr>
            <w:tcW w:w="1276" w:type="dxa"/>
          </w:tcPr>
          <w:p w14:paraId="69E776A9" w14:textId="77777777" w:rsidR="004223B5" w:rsidRPr="004223B5" w:rsidRDefault="004223B5" w:rsidP="004223B5">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50</w:t>
            </w:r>
          </w:p>
        </w:tc>
        <w:tc>
          <w:tcPr>
            <w:tcW w:w="2693" w:type="dxa"/>
            <w:vMerge w:val="restart"/>
          </w:tcPr>
          <w:p w14:paraId="6FC010C7" w14:textId="77777777" w:rsidR="004223B5" w:rsidRPr="004223B5" w:rsidRDefault="004223B5" w:rsidP="004223B5">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34B099A3" w14:textId="77777777" w:rsidTr="00FE71EB">
        <w:trPr>
          <w:trHeight w:val="397"/>
        </w:trPr>
        <w:tc>
          <w:tcPr>
            <w:cnfStyle w:val="001000000000" w:firstRow="0" w:lastRow="0" w:firstColumn="1" w:lastColumn="0" w:oddVBand="0" w:evenVBand="0" w:oddHBand="0" w:evenHBand="0" w:firstRowFirstColumn="0" w:firstRowLastColumn="0" w:lastRowFirstColumn="0" w:lastRowLastColumn="0"/>
            <w:tcW w:w="846" w:type="dxa"/>
          </w:tcPr>
          <w:p w14:paraId="4A0746E4" w14:textId="77777777" w:rsidR="004223B5" w:rsidRPr="004223B5" w:rsidRDefault="004223B5" w:rsidP="004223B5">
            <w:pPr>
              <w:spacing w:after="80"/>
              <w:contextualSpacing/>
              <w:rPr>
                <w:rFonts w:ascii="Arial" w:eastAsia="Arial" w:hAnsi="Arial" w:cs="Arial"/>
              </w:rPr>
            </w:pPr>
            <w:r w:rsidRPr="004223B5">
              <w:rPr>
                <w:rFonts w:ascii="Arial" w:eastAsia="Arial" w:hAnsi="Arial" w:cs="Arial"/>
              </w:rPr>
              <w:t>3</w:t>
            </w:r>
          </w:p>
        </w:tc>
        <w:tc>
          <w:tcPr>
            <w:tcW w:w="1701" w:type="dxa"/>
          </w:tcPr>
          <w:p w14:paraId="143782C8" w14:textId="77777777" w:rsidR="004223B5" w:rsidRPr="004223B5" w:rsidRDefault="004223B5" w:rsidP="004223B5">
            <w:pPr>
              <w:spacing w:after="80"/>
              <w:ind w:right="-92"/>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 xml:space="preserve">In-class participation </w:t>
            </w:r>
          </w:p>
        </w:tc>
        <w:tc>
          <w:tcPr>
            <w:tcW w:w="1984" w:type="dxa"/>
          </w:tcPr>
          <w:p w14:paraId="30A0DFFD" w14:textId="77777777" w:rsidR="004223B5" w:rsidRPr="004223B5" w:rsidRDefault="004223B5" w:rsidP="004223B5">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 xml:space="preserve">Debate </w:t>
            </w:r>
          </w:p>
        </w:tc>
        <w:tc>
          <w:tcPr>
            <w:tcW w:w="1276" w:type="dxa"/>
          </w:tcPr>
          <w:p w14:paraId="26BDC2A1" w14:textId="77777777" w:rsidR="004223B5" w:rsidRPr="004223B5" w:rsidRDefault="004223B5" w:rsidP="004223B5">
            <w:pPr>
              <w:spacing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50</w:t>
            </w:r>
          </w:p>
        </w:tc>
        <w:tc>
          <w:tcPr>
            <w:tcW w:w="2693" w:type="dxa"/>
            <w:vMerge/>
          </w:tcPr>
          <w:p w14:paraId="58E06C89" w14:textId="77777777" w:rsidR="004223B5" w:rsidRPr="004223B5" w:rsidRDefault="004223B5" w:rsidP="004223B5">
            <w:pPr>
              <w:spacing w:after="80"/>
              <w:contextualSpacing/>
              <w:cnfStyle w:val="000000000000" w:firstRow="0" w:lastRow="0" w:firstColumn="0" w:lastColumn="0" w:oddVBand="0" w:evenVBand="0" w:oddHBand="0" w:evenHBand="0" w:firstRowFirstColumn="0" w:firstRowLastColumn="0" w:lastRowFirstColumn="0" w:lastRowLastColumn="0"/>
              <w:rPr>
                <w:rFonts w:ascii="Times New Roman" w:eastAsia="Arial" w:hAnsi="Arial" w:cs="Arial"/>
                <w:color w:val="548DD4"/>
              </w:rPr>
            </w:pPr>
          </w:p>
        </w:tc>
      </w:tr>
    </w:tbl>
    <w:p w14:paraId="7602E232" w14:textId="77777777" w:rsidR="004223B5" w:rsidRPr="004223B5" w:rsidRDefault="004223B5" w:rsidP="004223B5">
      <w:pPr>
        <w:widowControl w:val="0"/>
        <w:autoSpaceDE w:val="0"/>
        <w:autoSpaceDN w:val="0"/>
        <w:spacing w:before="240" w:after="240"/>
        <w:jc w:val="both"/>
        <w:outlineLvl w:val="0"/>
        <w:rPr>
          <w:rFonts w:ascii="Arial" w:eastAsia="Arial" w:hAnsi="Arial" w:cs="Arial"/>
          <w:b/>
          <w:bCs/>
          <w:sz w:val="32"/>
          <w:szCs w:val="36"/>
          <w:lang w:val="en-US"/>
        </w:rPr>
      </w:pPr>
      <w:r w:rsidRPr="004223B5">
        <w:rPr>
          <w:rFonts w:ascii="Arial" w:eastAsia="Arial" w:hAnsi="Arial" w:cs="Arial"/>
          <w:b/>
          <w:bCs/>
          <w:sz w:val="32"/>
          <w:szCs w:val="36"/>
          <w:lang w:val="en-US"/>
        </w:rPr>
        <w:t>Synoptic</w:t>
      </w:r>
      <w:r w:rsidRPr="004223B5">
        <w:rPr>
          <w:rFonts w:ascii="Arial" w:eastAsia="Arial" w:hAnsi="Arial" w:cs="Arial"/>
          <w:b/>
          <w:bCs/>
          <w:spacing w:val="29"/>
          <w:sz w:val="32"/>
          <w:szCs w:val="36"/>
          <w:lang w:val="en-US"/>
        </w:rPr>
        <w:t xml:space="preserve"> </w:t>
      </w:r>
      <w:r w:rsidRPr="004223B5">
        <w:rPr>
          <w:rFonts w:ascii="Arial" w:eastAsia="Arial" w:hAnsi="Arial" w:cs="Arial"/>
          <w:b/>
          <w:bCs/>
          <w:sz w:val="32"/>
          <w:szCs w:val="36"/>
          <w:lang w:val="en-US"/>
        </w:rPr>
        <w:t>assessment</w:t>
      </w:r>
    </w:p>
    <w:p w14:paraId="67AC8C27" w14:textId="77777777" w:rsidR="004223B5" w:rsidRPr="004223B5" w:rsidRDefault="004223B5" w:rsidP="004223B5">
      <w:pPr>
        <w:widowControl w:val="0"/>
        <w:autoSpaceDE w:val="0"/>
        <w:autoSpaceDN w:val="0"/>
        <w:spacing w:before="240" w:after="240"/>
        <w:jc w:val="both"/>
        <w:outlineLvl w:val="0"/>
        <w:rPr>
          <w:rFonts w:ascii="Arial" w:eastAsia="Arial" w:hAnsi="Arial" w:cs="Arial"/>
          <w:b/>
          <w:bCs/>
          <w:sz w:val="32"/>
          <w:szCs w:val="32"/>
          <w:shd w:val="clear" w:color="auto" w:fill="FFFFFF"/>
          <w:lang w:val="en-US"/>
        </w:rPr>
      </w:pPr>
      <w:r w:rsidRPr="004223B5">
        <w:rPr>
          <w:rFonts w:ascii="Arial" w:eastAsia="Arial" w:hAnsi="Arial" w:cs="Arial"/>
          <w:sz w:val="22"/>
          <w:szCs w:val="22"/>
          <w:shd w:val="clear" w:color="auto" w:fill="FFFFFF"/>
          <w:lang w:val="en-US"/>
        </w:rPr>
        <w:t>N/A</w:t>
      </w:r>
    </w:p>
    <w:p w14:paraId="618994E6" w14:textId="77777777" w:rsidR="004223B5" w:rsidRPr="004223B5" w:rsidRDefault="004223B5" w:rsidP="004223B5">
      <w:pPr>
        <w:widowControl w:val="0"/>
        <w:autoSpaceDE w:val="0"/>
        <w:autoSpaceDN w:val="0"/>
        <w:spacing w:before="240" w:after="240"/>
        <w:jc w:val="both"/>
        <w:outlineLvl w:val="0"/>
        <w:rPr>
          <w:rFonts w:ascii="Arial" w:eastAsia="Arial" w:hAnsi="Arial" w:cs="Arial"/>
          <w:b/>
          <w:bCs/>
          <w:sz w:val="32"/>
          <w:szCs w:val="36"/>
          <w:lang w:val="en-US"/>
        </w:rPr>
      </w:pPr>
      <w:r w:rsidRPr="004223B5">
        <w:rPr>
          <w:rFonts w:ascii="Arial" w:eastAsia="Arial" w:hAnsi="Arial" w:cs="Arial"/>
          <w:b/>
          <w:bCs/>
          <w:sz w:val="32"/>
          <w:szCs w:val="36"/>
          <w:lang w:val="en-US"/>
        </w:rPr>
        <w:t>Learning outcomes</w:t>
      </w:r>
    </w:p>
    <w:p w14:paraId="7622287F" w14:textId="77777777" w:rsidR="004223B5" w:rsidRPr="004223B5" w:rsidRDefault="004223B5" w:rsidP="004223B5">
      <w:pPr>
        <w:widowControl w:val="0"/>
        <w:autoSpaceDE w:val="0"/>
        <w:autoSpaceDN w:val="0"/>
        <w:spacing w:after="120"/>
        <w:contextualSpacing/>
        <w:jc w:val="both"/>
        <w:rPr>
          <w:rFonts w:ascii="Arial" w:eastAsia="Arial" w:hAnsi="Arial" w:cs="Arial"/>
          <w:sz w:val="22"/>
          <w:szCs w:val="22"/>
          <w:lang w:val="en-US"/>
        </w:rPr>
      </w:pPr>
      <w:r w:rsidRPr="004223B5">
        <w:rPr>
          <w:rFonts w:ascii="Arial" w:eastAsia="Arial" w:hAnsi="Arial" w:cs="Arial"/>
          <w:sz w:val="22"/>
          <w:szCs w:val="22"/>
          <w:lang w:val="en-US"/>
        </w:rPr>
        <w:t>By the end of the module the successful student will be able to:</w:t>
      </w:r>
    </w:p>
    <w:p w14:paraId="17789463" w14:textId="77777777" w:rsidR="004223B5" w:rsidRPr="004223B5" w:rsidRDefault="004223B5" w:rsidP="004223B5">
      <w:pPr>
        <w:widowControl w:val="0"/>
        <w:autoSpaceDE w:val="0"/>
        <w:autoSpaceDN w:val="0"/>
        <w:spacing w:after="120"/>
        <w:contextualSpacing/>
        <w:jc w:val="both"/>
        <w:rPr>
          <w:rFonts w:ascii="Arial" w:eastAsia="Arial" w:hAnsi="Arial" w:cs="Arial"/>
          <w:sz w:val="22"/>
          <w:szCs w:val="22"/>
          <w:lang w:val="en-US"/>
        </w:rPr>
      </w:pPr>
    </w:p>
    <w:p w14:paraId="07E1645F" w14:textId="77777777" w:rsidR="004223B5" w:rsidRPr="004223B5" w:rsidRDefault="004223B5" w:rsidP="004223B5">
      <w:pPr>
        <w:widowControl w:val="0"/>
        <w:numPr>
          <w:ilvl w:val="0"/>
          <w:numId w:val="2"/>
        </w:numPr>
        <w:autoSpaceDE w:val="0"/>
        <w:autoSpaceDN w:val="0"/>
        <w:spacing w:after="120"/>
        <w:contextualSpacing/>
        <w:jc w:val="both"/>
        <w:rPr>
          <w:rFonts w:ascii="Arial" w:eastAsia="Arial" w:hAnsi="Arial" w:cs="Arial"/>
          <w:sz w:val="22"/>
          <w:szCs w:val="22"/>
          <w:lang w:val="en-GB"/>
        </w:rPr>
      </w:pPr>
      <w:r w:rsidRPr="004223B5">
        <w:rPr>
          <w:rFonts w:ascii="Arial" w:eastAsia="Arial" w:hAnsi="Arial" w:cs="Arial"/>
          <w:sz w:val="22"/>
          <w:szCs w:val="22"/>
          <w:lang w:val="en-GB"/>
        </w:rPr>
        <w:t>Demonstrate a critical understanding the role of international organisations at both global and regional levels, particularly in the context of post-Cold War international security and governance.</w:t>
      </w:r>
    </w:p>
    <w:p w14:paraId="6CD45226" w14:textId="77777777" w:rsidR="004223B5" w:rsidRPr="004223B5" w:rsidRDefault="004223B5" w:rsidP="004223B5">
      <w:pPr>
        <w:widowControl w:val="0"/>
        <w:numPr>
          <w:ilvl w:val="0"/>
          <w:numId w:val="2"/>
        </w:numPr>
        <w:autoSpaceDE w:val="0"/>
        <w:autoSpaceDN w:val="0"/>
        <w:spacing w:after="120"/>
        <w:contextualSpacing/>
        <w:jc w:val="both"/>
        <w:rPr>
          <w:rFonts w:ascii="Arial" w:eastAsia="Arial" w:hAnsi="Arial" w:cs="Arial"/>
          <w:sz w:val="22"/>
          <w:szCs w:val="22"/>
          <w:lang w:val="en-GB"/>
        </w:rPr>
      </w:pPr>
      <w:proofErr w:type="spellStart"/>
      <w:r w:rsidRPr="004223B5">
        <w:rPr>
          <w:rFonts w:ascii="Arial" w:eastAsia="Arial" w:hAnsi="Arial" w:cs="Arial"/>
          <w:sz w:val="22"/>
          <w:szCs w:val="22"/>
          <w:lang w:val="en-GB"/>
        </w:rPr>
        <w:t>Analyze</w:t>
      </w:r>
      <w:proofErr w:type="spellEnd"/>
      <w:r w:rsidRPr="004223B5">
        <w:rPr>
          <w:rFonts w:ascii="Arial" w:eastAsia="Arial" w:hAnsi="Arial" w:cs="Arial"/>
          <w:sz w:val="22"/>
          <w:szCs w:val="22"/>
          <w:lang w:val="en-GB"/>
        </w:rPr>
        <w:t xml:space="preserve"> how civil society can engage to influence international relations through NGOs structures and cognitive nets, pursuing socially important objectives like sustainable development and justice (related to SDG1: no poverty; SDG3: good health and well-being; SDG5: gender equality; SDG10: reduced inequalities; SDG13: climate action; SDG16: peace, justice and strong institutions)</w:t>
      </w:r>
    </w:p>
    <w:p w14:paraId="28605A24" w14:textId="77777777" w:rsidR="004223B5" w:rsidRPr="004223B5" w:rsidRDefault="004223B5" w:rsidP="004223B5">
      <w:pPr>
        <w:widowControl w:val="0"/>
        <w:numPr>
          <w:ilvl w:val="0"/>
          <w:numId w:val="2"/>
        </w:numPr>
        <w:autoSpaceDE w:val="0"/>
        <w:autoSpaceDN w:val="0"/>
        <w:spacing w:after="120"/>
        <w:contextualSpacing/>
        <w:jc w:val="both"/>
        <w:rPr>
          <w:rFonts w:ascii="Arial" w:eastAsia="Arial" w:hAnsi="Arial" w:cs="Arial"/>
          <w:sz w:val="22"/>
          <w:szCs w:val="22"/>
          <w:lang w:val="en-GB"/>
        </w:rPr>
      </w:pPr>
      <w:r w:rsidRPr="004223B5">
        <w:rPr>
          <w:rFonts w:ascii="Arial" w:eastAsia="Arial" w:hAnsi="Arial" w:cs="Arial"/>
          <w:sz w:val="22"/>
          <w:szCs w:val="22"/>
          <w:lang w:val="en-GB"/>
        </w:rPr>
        <w:t>Understand how public and private entities cooperate and compete to shape global governance, with attention to competing interests, cooperation, and the evolving structure of global authority.</w:t>
      </w:r>
    </w:p>
    <w:p w14:paraId="136EE4EF" w14:textId="77777777" w:rsidR="004223B5" w:rsidRPr="004223B5" w:rsidRDefault="004223B5" w:rsidP="004223B5">
      <w:pPr>
        <w:widowControl w:val="0"/>
        <w:numPr>
          <w:ilvl w:val="0"/>
          <w:numId w:val="2"/>
        </w:numPr>
        <w:autoSpaceDE w:val="0"/>
        <w:autoSpaceDN w:val="0"/>
        <w:spacing w:after="120"/>
        <w:contextualSpacing/>
        <w:jc w:val="both"/>
        <w:rPr>
          <w:rFonts w:ascii="Arial" w:eastAsia="Arial" w:hAnsi="Arial" w:cs="Arial"/>
          <w:sz w:val="22"/>
          <w:szCs w:val="22"/>
          <w:lang w:val="en-GB"/>
        </w:rPr>
      </w:pPr>
      <w:r w:rsidRPr="004223B5">
        <w:rPr>
          <w:rFonts w:ascii="Arial" w:eastAsia="Arial" w:hAnsi="Arial" w:cs="Arial"/>
          <w:sz w:val="22"/>
          <w:szCs w:val="22"/>
          <w:lang w:val="en-GB"/>
        </w:rPr>
        <w:t>Identify the roles and channels of influence of transnational companies, focusing on their geopolitical, economic, and regulatory roles at both global and regional levels.</w:t>
      </w:r>
    </w:p>
    <w:p w14:paraId="20514DBD" w14:textId="77777777" w:rsidR="004223B5" w:rsidRPr="004223B5" w:rsidRDefault="004223B5" w:rsidP="004223B5">
      <w:pPr>
        <w:widowControl w:val="0"/>
        <w:numPr>
          <w:ilvl w:val="0"/>
          <w:numId w:val="2"/>
        </w:numPr>
        <w:autoSpaceDE w:val="0"/>
        <w:autoSpaceDN w:val="0"/>
        <w:spacing w:after="120"/>
        <w:contextualSpacing/>
        <w:jc w:val="both"/>
        <w:rPr>
          <w:rFonts w:ascii="Arial" w:eastAsia="Arial" w:hAnsi="Arial" w:cs="Arial"/>
          <w:sz w:val="22"/>
          <w:szCs w:val="22"/>
          <w:lang w:val="en-GB"/>
        </w:rPr>
      </w:pPr>
      <w:r w:rsidRPr="004223B5">
        <w:rPr>
          <w:rFonts w:ascii="Arial" w:eastAsia="Arial" w:hAnsi="Arial" w:cs="Arial"/>
          <w:sz w:val="22"/>
          <w:szCs w:val="22"/>
          <w:lang w:val="en-GB"/>
        </w:rPr>
        <w:t>Analyse and discuss the role of United Nations and UN specialised agencies and identify their strengths and weaknesses and limits to their influence.</w:t>
      </w:r>
    </w:p>
    <w:p w14:paraId="6A2005E1" w14:textId="77777777" w:rsidR="004223B5" w:rsidRPr="004223B5" w:rsidRDefault="004223B5" w:rsidP="004223B5">
      <w:pPr>
        <w:widowControl w:val="0"/>
        <w:numPr>
          <w:ilvl w:val="0"/>
          <w:numId w:val="2"/>
        </w:numPr>
        <w:autoSpaceDE w:val="0"/>
        <w:autoSpaceDN w:val="0"/>
        <w:spacing w:after="120"/>
        <w:contextualSpacing/>
        <w:jc w:val="both"/>
        <w:rPr>
          <w:rFonts w:ascii="Arial" w:eastAsia="Arial" w:hAnsi="Arial" w:cs="Arial"/>
          <w:sz w:val="22"/>
          <w:szCs w:val="22"/>
          <w:lang w:val="en-GB"/>
        </w:rPr>
      </w:pPr>
      <w:r w:rsidRPr="004223B5">
        <w:rPr>
          <w:rFonts w:ascii="Arial" w:eastAsia="Arial" w:hAnsi="Arial" w:cs="Arial"/>
          <w:sz w:val="22"/>
          <w:szCs w:val="22"/>
          <w:lang w:val="en-GB"/>
        </w:rPr>
        <w:t xml:space="preserve">Critically assess the motives and interests of states and other actors of IR and evaluate debates surrounding the evolution and effectiveness of global governance structures. </w:t>
      </w:r>
    </w:p>
    <w:p w14:paraId="698E67BF" w14:textId="77777777" w:rsidR="004223B5" w:rsidRPr="004223B5" w:rsidRDefault="004223B5" w:rsidP="004223B5">
      <w:pPr>
        <w:widowControl w:val="0"/>
        <w:autoSpaceDE w:val="0"/>
        <w:autoSpaceDN w:val="0"/>
        <w:spacing w:before="240" w:after="240"/>
        <w:jc w:val="both"/>
        <w:outlineLvl w:val="0"/>
        <w:rPr>
          <w:rFonts w:ascii="Arial" w:eastAsia="Arial" w:hAnsi="Arial" w:cs="Arial"/>
          <w:b/>
          <w:bCs/>
          <w:sz w:val="32"/>
          <w:szCs w:val="36"/>
          <w:lang w:val="en-US"/>
        </w:rPr>
      </w:pPr>
      <w:r w:rsidRPr="004223B5">
        <w:rPr>
          <w:rFonts w:ascii="Arial" w:eastAsia="Arial" w:hAnsi="Arial" w:cs="Arial"/>
          <w:b/>
          <w:bCs/>
          <w:sz w:val="32"/>
          <w:szCs w:val="36"/>
          <w:lang w:val="en-US"/>
        </w:rPr>
        <w:t>Course outcomes the module contributes to:</w:t>
      </w:r>
    </w:p>
    <w:p w14:paraId="172EF084" w14:textId="77777777" w:rsidR="004223B5" w:rsidRPr="004223B5" w:rsidRDefault="004223B5" w:rsidP="004223B5">
      <w:pPr>
        <w:widowControl w:val="0"/>
        <w:numPr>
          <w:ilvl w:val="0"/>
          <w:numId w:val="4"/>
        </w:numPr>
        <w:autoSpaceDE w:val="0"/>
        <w:autoSpaceDN w:val="0"/>
        <w:spacing w:before="240" w:after="240"/>
        <w:contextualSpacing/>
        <w:jc w:val="both"/>
        <w:outlineLvl w:val="0"/>
        <w:rPr>
          <w:rFonts w:ascii="Arial" w:eastAsia="Arial" w:hAnsi="Arial" w:cs="Arial"/>
          <w:sz w:val="22"/>
          <w:szCs w:val="22"/>
          <w:shd w:val="clear" w:color="auto" w:fill="FFFFFF"/>
          <w:lang w:val="en-GB"/>
        </w:rPr>
      </w:pPr>
      <w:r w:rsidRPr="004223B5">
        <w:rPr>
          <w:rFonts w:ascii="Arial" w:eastAsia="Arial" w:hAnsi="Arial" w:cs="Arial"/>
          <w:sz w:val="22"/>
          <w:szCs w:val="22"/>
          <w:shd w:val="clear" w:color="auto" w:fill="FFFFFF"/>
          <w:lang w:val="en-US"/>
        </w:rPr>
        <w:t>L5.1 Detailed understanding of the contemporary agenda of global security and the key issues that have dominated International Relations in the post-Cold War era</w:t>
      </w:r>
    </w:p>
    <w:p w14:paraId="7ECDC187" w14:textId="77777777" w:rsidR="004223B5" w:rsidRPr="004223B5" w:rsidRDefault="004223B5" w:rsidP="004223B5">
      <w:pPr>
        <w:widowControl w:val="0"/>
        <w:numPr>
          <w:ilvl w:val="0"/>
          <w:numId w:val="4"/>
        </w:numPr>
        <w:autoSpaceDE w:val="0"/>
        <w:autoSpaceDN w:val="0"/>
        <w:spacing w:after="120"/>
        <w:contextualSpacing/>
        <w:rPr>
          <w:rFonts w:ascii="Arial" w:eastAsia="Arial" w:hAnsi="Arial" w:cs="Arial"/>
          <w:b/>
          <w:bCs/>
          <w:sz w:val="22"/>
          <w:szCs w:val="22"/>
          <w:shd w:val="clear" w:color="auto" w:fill="FFFFFF"/>
          <w:lang w:val="en-GB"/>
        </w:rPr>
      </w:pPr>
      <w:r w:rsidRPr="004223B5">
        <w:rPr>
          <w:rFonts w:ascii="Arial" w:eastAsia="Arial" w:hAnsi="Arial" w:cs="Arial"/>
          <w:sz w:val="22"/>
          <w:szCs w:val="22"/>
          <w:shd w:val="clear" w:color="auto" w:fill="FFFFFF"/>
          <w:lang w:val="en-GB"/>
        </w:rPr>
        <w:t>L5.3. An ability to critically identify the geopolitical dimensions of International Relations and key events into a broad narrative on post-Cold War politics.</w:t>
      </w:r>
    </w:p>
    <w:p w14:paraId="3686667C" w14:textId="77777777" w:rsidR="004223B5" w:rsidRPr="004223B5" w:rsidRDefault="004223B5" w:rsidP="004223B5">
      <w:pPr>
        <w:widowControl w:val="0"/>
        <w:numPr>
          <w:ilvl w:val="0"/>
          <w:numId w:val="4"/>
        </w:numPr>
        <w:autoSpaceDE w:val="0"/>
        <w:autoSpaceDN w:val="0"/>
        <w:spacing w:before="240" w:after="240"/>
        <w:contextualSpacing/>
        <w:jc w:val="both"/>
        <w:outlineLvl w:val="0"/>
        <w:rPr>
          <w:rFonts w:ascii="Arial" w:eastAsia="Arial" w:hAnsi="Arial" w:cs="Arial"/>
          <w:sz w:val="22"/>
          <w:szCs w:val="22"/>
          <w:shd w:val="clear" w:color="auto" w:fill="FFFFFF"/>
          <w:lang w:val="en-GB"/>
        </w:rPr>
      </w:pPr>
      <w:r w:rsidRPr="004223B5">
        <w:rPr>
          <w:rFonts w:ascii="Arial" w:eastAsia="Arial" w:hAnsi="Arial" w:cs="Arial"/>
          <w:sz w:val="22"/>
          <w:szCs w:val="22"/>
          <w:shd w:val="clear" w:color="auto" w:fill="FFFFFF"/>
          <w:lang w:val="en-GB"/>
        </w:rPr>
        <w:t xml:space="preserve">L5.4 An appreciation for the regional dynamics of International Relations, with specific focus on the politics of Europe, the Middle East, Asia and Africa.  </w:t>
      </w:r>
    </w:p>
    <w:p w14:paraId="5D16620F" w14:textId="77777777" w:rsidR="004223B5" w:rsidRPr="004223B5" w:rsidRDefault="004223B5" w:rsidP="004223B5">
      <w:pPr>
        <w:widowControl w:val="0"/>
        <w:numPr>
          <w:ilvl w:val="0"/>
          <w:numId w:val="4"/>
        </w:numPr>
        <w:autoSpaceDE w:val="0"/>
        <w:autoSpaceDN w:val="0"/>
        <w:spacing w:before="240" w:after="240"/>
        <w:contextualSpacing/>
        <w:jc w:val="both"/>
        <w:outlineLvl w:val="0"/>
        <w:rPr>
          <w:rFonts w:ascii="Arial" w:eastAsia="Arial" w:hAnsi="Arial" w:cs="Arial"/>
          <w:sz w:val="22"/>
          <w:szCs w:val="22"/>
          <w:shd w:val="clear" w:color="auto" w:fill="FFFFFF"/>
          <w:lang w:val="en-GB"/>
        </w:rPr>
      </w:pPr>
      <w:r w:rsidRPr="004223B5">
        <w:rPr>
          <w:rFonts w:ascii="Arial" w:eastAsia="Arial" w:hAnsi="Arial" w:cs="Arial"/>
          <w:sz w:val="22"/>
          <w:szCs w:val="22"/>
          <w:shd w:val="clear" w:color="auto" w:fill="FFFFFF"/>
          <w:lang w:val="en-GB"/>
        </w:rPr>
        <w:t xml:space="preserve">L5.5 An understanding of the varieties of approaches to understanding, constructing and interpreting the international system, especially through concepts and theories derived from the social sciences.  </w:t>
      </w:r>
    </w:p>
    <w:p w14:paraId="3EBCD070" w14:textId="77777777" w:rsidR="004223B5" w:rsidRPr="004223B5" w:rsidRDefault="004223B5" w:rsidP="004223B5">
      <w:pPr>
        <w:widowControl w:val="0"/>
        <w:numPr>
          <w:ilvl w:val="0"/>
          <w:numId w:val="4"/>
        </w:numPr>
        <w:autoSpaceDE w:val="0"/>
        <w:autoSpaceDN w:val="0"/>
        <w:spacing w:before="240" w:after="240"/>
        <w:contextualSpacing/>
        <w:jc w:val="both"/>
        <w:outlineLvl w:val="0"/>
        <w:rPr>
          <w:rFonts w:ascii="Arial" w:eastAsia="Arial" w:hAnsi="Arial" w:cs="Arial"/>
          <w:sz w:val="22"/>
          <w:szCs w:val="22"/>
          <w:shd w:val="clear" w:color="auto" w:fill="FFFFFF"/>
          <w:lang w:val="en-GB"/>
        </w:rPr>
      </w:pPr>
      <w:r w:rsidRPr="004223B5">
        <w:rPr>
          <w:rFonts w:ascii="Arial" w:eastAsia="Arial" w:hAnsi="Arial" w:cs="Arial"/>
          <w:sz w:val="22"/>
          <w:szCs w:val="22"/>
          <w:shd w:val="clear" w:color="auto" w:fill="FFFFFF"/>
          <w:lang w:val="en-GB"/>
        </w:rPr>
        <w:t>L5.6 An understanding of the role of social science methodologies and political research skills in the research process, including the ability to use communication and information technology for the retrieval and presentation of information.</w:t>
      </w:r>
    </w:p>
    <w:p w14:paraId="5CDBCB89" w14:textId="77777777" w:rsidR="004223B5" w:rsidRDefault="004223B5" w:rsidP="004223B5">
      <w:pPr>
        <w:widowControl w:val="0"/>
        <w:autoSpaceDE w:val="0"/>
        <w:autoSpaceDN w:val="0"/>
        <w:spacing w:before="240" w:after="240"/>
        <w:outlineLvl w:val="0"/>
        <w:rPr>
          <w:rFonts w:ascii="Arial" w:eastAsia="Arial" w:hAnsi="Arial" w:cs="Arial"/>
          <w:b/>
          <w:bCs/>
          <w:sz w:val="32"/>
          <w:szCs w:val="36"/>
          <w:lang w:val="en-US"/>
        </w:rPr>
      </w:pPr>
    </w:p>
    <w:p w14:paraId="6C951D3F" w14:textId="043E15ED" w:rsidR="004223B5" w:rsidRPr="004223B5" w:rsidRDefault="004223B5" w:rsidP="004223B5">
      <w:pPr>
        <w:widowControl w:val="0"/>
        <w:autoSpaceDE w:val="0"/>
        <w:autoSpaceDN w:val="0"/>
        <w:spacing w:before="240" w:after="240"/>
        <w:outlineLvl w:val="0"/>
        <w:rPr>
          <w:rFonts w:ascii="Arial" w:eastAsia="Arial" w:hAnsi="Arial" w:cs="Arial"/>
          <w:b/>
          <w:bCs/>
          <w:sz w:val="32"/>
          <w:szCs w:val="36"/>
          <w:lang w:val="en-US"/>
        </w:rPr>
      </w:pPr>
      <w:r w:rsidRPr="004223B5">
        <w:rPr>
          <w:rFonts w:ascii="Arial" w:eastAsia="Arial" w:hAnsi="Arial" w:cs="Arial"/>
          <w:b/>
          <w:bCs/>
          <w:sz w:val="32"/>
          <w:szCs w:val="36"/>
          <w:lang w:val="en-US"/>
        </w:rPr>
        <w:lastRenderedPageBreak/>
        <w:t>Indicative syllabus content</w:t>
      </w:r>
    </w:p>
    <w:p w14:paraId="2F8FDB72" w14:textId="77777777" w:rsidR="004223B5" w:rsidRPr="004223B5" w:rsidRDefault="004223B5" w:rsidP="004223B5">
      <w:pPr>
        <w:widowControl w:val="0"/>
        <w:numPr>
          <w:ilvl w:val="0"/>
          <w:numId w:val="3"/>
        </w:numPr>
        <w:autoSpaceDE w:val="0"/>
        <w:autoSpaceDN w:val="0"/>
        <w:spacing w:after="120"/>
        <w:contextualSpacing/>
        <w:jc w:val="both"/>
        <w:outlineLvl w:val="0"/>
        <w:rPr>
          <w:rFonts w:ascii="Arial" w:eastAsia="Arial" w:hAnsi="Arial" w:cs="Arial"/>
          <w:sz w:val="22"/>
          <w:szCs w:val="22"/>
          <w:lang w:val="en-US"/>
        </w:rPr>
      </w:pPr>
      <w:r w:rsidRPr="004223B5">
        <w:rPr>
          <w:rFonts w:ascii="Arial" w:eastAsia="Arial" w:hAnsi="Arial" w:cs="Arial"/>
          <w:sz w:val="22"/>
          <w:szCs w:val="22"/>
          <w:lang w:val="en-US"/>
        </w:rPr>
        <w:t>The evolution of the international state system since 1815</w:t>
      </w:r>
    </w:p>
    <w:p w14:paraId="3CE26AEC" w14:textId="77777777" w:rsidR="004223B5" w:rsidRPr="004223B5" w:rsidRDefault="004223B5" w:rsidP="004223B5">
      <w:pPr>
        <w:widowControl w:val="0"/>
        <w:numPr>
          <w:ilvl w:val="0"/>
          <w:numId w:val="3"/>
        </w:numPr>
        <w:autoSpaceDE w:val="0"/>
        <w:autoSpaceDN w:val="0"/>
        <w:spacing w:after="120"/>
        <w:contextualSpacing/>
        <w:jc w:val="both"/>
        <w:outlineLvl w:val="0"/>
        <w:rPr>
          <w:rFonts w:ascii="Arial" w:eastAsia="Arial" w:hAnsi="Arial" w:cs="Arial"/>
          <w:sz w:val="22"/>
          <w:szCs w:val="22"/>
          <w:lang w:val="en-US"/>
        </w:rPr>
      </w:pPr>
      <w:r w:rsidRPr="004223B5">
        <w:rPr>
          <w:rFonts w:ascii="Arial" w:eastAsia="Arial" w:hAnsi="Arial" w:cs="Arial"/>
          <w:sz w:val="22"/>
          <w:szCs w:val="22"/>
          <w:lang w:val="en-US"/>
        </w:rPr>
        <w:t xml:space="preserve">Globalization and global governance in </w:t>
      </w:r>
      <w:proofErr w:type="spellStart"/>
      <w:r w:rsidRPr="004223B5">
        <w:rPr>
          <w:rFonts w:ascii="Arial" w:eastAsia="Arial" w:hAnsi="Arial" w:cs="Arial"/>
          <w:sz w:val="22"/>
          <w:szCs w:val="22"/>
          <w:lang w:val="en-US"/>
        </w:rPr>
        <w:t>XXIst</w:t>
      </w:r>
      <w:proofErr w:type="spellEnd"/>
      <w:r w:rsidRPr="004223B5">
        <w:rPr>
          <w:rFonts w:ascii="Arial" w:eastAsia="Arial" w:hAnsi="Arial" w:cs="Arial"/>
          <w:sz w:val="22"/>
          <w:szCs w:val="22"/>
          <w:lang w:val="en-US"/>
        </w:rPr>
        <w:t xml:space="preserve"> century </w:t>
      </w:r>
    </w:p>
    <w:p w14:paraId="552CB6A6" w14:textId="77777777" w:rsidR="004223B5" w:rsidRPr="004223B5" w:rsidRDefault="004223B5" w:rsidP="004223B5">
      <w:pPr>
        <w:widowControl w:val="0"/>
        <w:numPr>
          <w:ilvl w:val="0"/>
          <w:numId w:val="3"/>
        </w:numPr>
        <w:autoSpaceDE w:val="0"/>
        <w:autoSpaceDN w:val="0"/>
        <w:spacing w:after="120"/>
        <w:contextualSpacing/>
        <w:jc w:val="both"/>
        <w:outlineLvl w:val="0"/>
        <w:rPr>
          <w:rFonts w:ascii="Arial" w:eastAsia="Arial" w:hAnsi="Arial" w:cs="Arial"/>
          <w:sz w:val="22"/>
          <w:szCs w:val="22"/>
          <w:lang w:val="en-US"/>
        </w:rPr>
      </w:pPr>
      <w:r w:rsidRPr="004223B5">
        <w:rPr>
          <w:rFonts w:ascii="Arial" w:eastAsia="Arial" w:hAnsi="Arial" w:cs="Arial"/>
          <w:sz w:val="22"/>
          <w:szCs w:val="22"/>
          <w:lang w:val="en-US"/>
        </w:rPr>
        <w:t>Typology of international institutions: structural and functional differences between international organizations and other structures of cooperation</w:t>
      </w:r>
    </w:p>
    <w:p w14:paraId="2F67F31F" w14:textId="77777777" w:rsidR="004223B5" w:rsidRPr="004223B5" w:rsidRDefault="004223B5" w:rsidP="004223B5">
      <w:pPr>
        <w:widowControl w:val="0"/>
        <w:numPr>
          <w:ilvl w:val="0"/>
          <w:numId w:val="3"/>
        </w:numPr>
        <w:autoSpaceDE w:val="0"/>
        <w:autoSpaceDN w:val="0"/>
        <w:spacing w:after="120"/>
        <w:contextualSpacing/>
        <w:jc w:val="both"/>
        <w:outlineLvl w:val="0"/>
        <w:rPr>
          <w:rFonts w:ascii="Arial" w:eastAsia="Arial" w:hAnsi="Arial" w:cs="Arial"/>
          <w:sz w:val="22"/>
          <w:szCs w:val="22"/>
          <w:lang w:val="en-US"/>
        </w:rPr>
      </w:pPr>
      <w:r w:rsidRPr="004223B5">
        <w:rPr>
          <w:rFonts w:ascii="Arial" w:eastAsia="Arial" w:hAnsi="Arial" w:cs="Arial"/>
          <w:sz w:val="22"/>
          <w:szCs w:val="22"/>
          <w:lang w:val="en-US"/>
        </w:rPr>
        <w:t>The role and evolution of United Nations and UN System</w:t>
      </w:r>
    </w:p>
    <w:p w14:paraId="41E6A68E" w14:textId="77777777" w:rsidR="004223B5" w:rsidRPr="004223B5" w:rsidRDefault="004223B5" w:rsidP="004223B5">
      <w:pPr>
        <w:widowControl w:val="0"/>
        <w:numPr>
          <w:ilvl w:val="0"/>
          <w:numId w:val="3"/>
        </w:numPr>
        <w:autoSpaceDE w:val="0"/>
        <w:autoSpaceDN w:val="0"/>
        <w:spacing w:after="120"/>
        <w:contextualSpacing/>
        <w:jc w:val="both"/>
        <w:outlineLvl w:val="0"/>
        <w:rPr>
          <w:rFonts w:ascii="Arial" w:eastAsia="Arial" w:hAnsi="Arial" w:cs="Arial"/>
          <w:sz w:val="22"/>
          <w:szCs w:val="22"/>
          <w:lang w:val="en-US"/>
        </w:rPr>
      </w:pPr>
      <w:r w:rsidRPr="004223B5">
        <w:rPr>
          <w:rFonts w:ascii="Arial" w:eastAsia="Arial" w:hAnsi="Arial" w:cs="Arial"/>
          <w:sz w:val="22"/>
          <w:szCs w:val="22"/>
          <w:lang w:val="en-US"/>
        </w:rPr>
        <w:t>Examples of international organization and governance structures from global and regional level – analysis of their form and activities</w:t>
      </w:r>
    </w:p>
    <w:p w14:paraId="48907B90" w14:textId="77777777" w:rsidR="004223B5" w:rsidRPr="004223B5" w:rsidRDefault="004223B5" w:rsidP="004223B5">
      <w:pPr>
        <w:widowControl w:val="0"/>
        <w:numPr>
          <w:ilvl w:val="0"/>
          <w:numId w:val="3"/>
        </w:numPr>
        <w:autoSpaceDE w:val="0"/>
        <w:autoSpaceDN w:val="0"/>
        <w:spacing w:after="120"/>
        <w:contextualSpacing/>
        <w:jc w:val="both"/>
        <w:outlineLvl w:val="0"/>
        <w:rPr>
          <w:rFonts w:ascii="Arial" w:eastAsia="Arial" w:hAnsi="Arial" w:cs="Arial"/>
          <w:sz w:val="22"/>
          <w:szCs w:val="22"/>
          <w:lang w:val="en-US"/>
        </w:rPr>
      </w:pPr>
      <w:r w:rsidRPr="004223B5">
        <w:rPr>
          <w:rFonts w:ascii="Arial" w:eastAsia="Arial" w:hAnsi="Arial" w:cs="Arial"/>
          <w:sz w:val="22"/>
          <w:szCs w:val="22"/>
          <w:lang w:val="en-US"/>
        </w:rPr>
        <w:t>Transnational actors and the role of transnational corporations on global and regional level</w:t>
      </w:r>
    </w:p>
    <w:p w14:paraId="69E12551" w14:textId="77777777" w:rsidR="004223B5" w:rsidRPr="004223B5" w:rsidRDefault="004223B5" w:rsidP="004223B5">
      <w:pPr>
        <w:widowControl w:val="0"/>
        <w:numPr>
          <w:ilvl w:val="0"/>
          <w:numId w:val="3"/>
        </w:numPr>
        <w:autoSpaceDE w:val="0"/>
        <w:autoSpaceDN w:val="0"/>
        <w:spacing w:after="120"/>
        <w:contextualSpacing/>
        <w:jc w:val="both"/>
        <w:outlineLvl w:val="0"/>
        <w:rPr>
          <w:rFonts w:ascii="Arial" w:eastAsia="Arial" w:hAnsi="Arial" w:cs="Arial"/>
          <w:sz w:val="22"/>
          <w:szCs w:val="22"/>
          <w:lang w:val="en-US"/>
        </w:rPr>
      </w:pPr>
      <w:r w:rsidRPr="004223B5">
        <w:rPr>
          <w:rFonts w:ascii="Arial" w:eastAsia="Arial" w:hAnsi="Arial" w:cs="Arial"/>
          <w:sz w:val="22"/>
          <w:szCs w:val="22"/>
          <w:lang w:val="en-US"/>
        </w:rPr>
        <w:t>Values and democracy and the structures of global governance</w:t>
      </w:r>
    </w:p>
    <w:p w14:paraId="7D6184BD" w14:textId="77777777" w:rsidR="004223B5" w:rsidRPr="004223B5" w:rsidRDefault="004223B5" w:rsidP="004223B5">
      <w:pPr>
        <w:widowControl w:val="0"/>
        <w:numPr>
          <w:ilvl w:val="0"/>
          <w:numId w:val="3"/>
        </w:numPr>
        <w:autoSpaceDE w:val="0"/>
        <w:autoSpaceDN w:val="0"/>
        <w:spacing w:after="120"/>
        <w:contextualSpacing/>
        <w:jc w:val="both"/>
        <w:outlineLvl w:val="0"/>
        <w:rPr>
          <w:rFonts w:ascii="Arial" w:eastAsia="Arial" w:hAnsi="Arial" w:cs="Arial"/>
          <w:sz w:val="22"/>
          <w:szCs w:val="22"/>
          <w:lang w:val="en-US"/>
        </w:rPr>
      </w:pPr>
      <w:r w:rsidRPr="004223B5">
        <w:rPr>
          <w:rFonts w:ascii="Arial" w:eastAsia="Arial" w:hAnsi="Arial" w:cs="Arial"/>
          <w:sz w:val="22"/>
          <w:szCs w:val="22"/>
          <w:lang w:val="en-US"/>
        </w:rPr>
        <w:t xml:space="preserve">Global problems and their proposed solutions – terrorism, climate change, migration and refugees, propaganda and misinformation </w:t>
      </w:r>
    </w:p>
    <w:p w14:paraId="212E5194" w14:textId="77777777" w:rsidR="004223B5" w:rsidRPr="004223B5" w:rsidRDefault="004223B5" w:rsidP="004223B5">
      <w:pPr>
        <w:widowControl w:val="0"/>
        <w:autoSpaceDE w:val="0"/>
        <w:autoSpaceDN w:val="0"/>
        <w:spacing w:before="240" w:after="240"/>
        <w:outlineLvl w:val="0"/>
        <w:rPr>
          <w:rFonts w:ascii="Arial" w:eastAsia="Arial" w:hAnsi="Arial" w:cs="Arial"/>
          <w:b/>
          <w:bCs/>
          <w:sz w:val="32"/>
          <w:szCs w:val="36"/>
          <w:lang w:val="en-US"/>
        </w:rPr>
      </w:pPr>
      <w:r w:rsidRPr="004223B5">
        <w:rPr>
          <w:rFonts w:ascii="Arial" w:eastAsia="Arial" w:hAnsi="Arial" w:cs="Arial"/>
          <w:b/>
          <w:bCs/>
          <w:sz w:val="32"/>
          <w:szCs w:val="36"/>
          <w:lang w:val="en-US"/>
        </w:rPr>
        <w:t>Teaching</w:t>
      </w:r>
      <w:r w:rsidRPr="004223B5">
        <w:rPr>
          <w:rFonts w:ascii="Arial" w:eastAsia="Arial" w:hAnsi="Arial" w:cs="Arial"/>
          <w:b/>
          <w:bCs/>
          <w:spacing w:val="15"/>
          <w:sz w:val="32"/>
          <w:szCs w:val="36"/>
          <w:lang w:val="en-US"/>
        </w:rPr>
        <w:t xml:space="preserve"> </w:t>
      </w:r>
      <w:r w:rsidRPr="004223B5">
        <w:rPr>
          <w:rFonts w:ascii="Arial" w:eastAsia="Arial" w:hAnsi="Arial" w:cs="Arial"/>
          <w:b/>
          <w:bCs/>
          <w:sz w:val="32"/>
          <w:szCs w:val="36"/>
          <w:lang w:val="en-US"/>
        </w:rPr>
        <w:t>and</w:t>
      </w:r>
      <w:r w:rsidRPr="004223B5">
        <w:rPr>
          <w:rFonts w:ascii="Arial" w:eastAsia="Arial" w:hAnsi="Arial" w:cs="Arial"/>
          <w:b/>
          <w:bCs/>
          <w:spacing w:val="16"/>
          <w:sz w:val="32"/>
          <w:szCs w:val="36"/>
          <w:lang w:val="en-US"/>
        </w:rPr>
        <w:t xml:space="preserve"> </w:t>
      </w:r>
      <w:r w:rsidRPr="004223B5">
        <w:rPr>
          <w:rFonts w:ascii="Arial" w:eastAsia="Arial" w:hAnsi="Arial" w:cs="Arial"/>
          <w:b/>
          <w:bCs/>
          <w:sz w:val="32"/>
          <w:szCs w:val="36"/>
          <w:lang w:val="en-US"/>
        </w:rPr>
        <w:t>learning</w:t>
      </w:r>
      <w:r w:rsidRPr="004223B5">
        <w:rPr>
          <w:rFonts w:ascii="Arial" w:eastAsia="Arial" w:hAnsi="Arial" w:cs="Arial"/>
          <w:b/>
          <w:bCs/>
          <w:spacing w:val="16"/>
          <w:sz w:val="32"/>
          <w:szCs w:val="36"/>
          <w:lang w:val="en-US"/>
        </w:rPr>
        <w:t xml:space="preserve"> </w:t>
      </w:r>
      <w:r w:rsidRPr="004223B5">
        <w:rPr>
          <w:rFonts w:ascii="Arial" w:eastAsia="Arial" w:hAnsi="Arial" w:cs="Arial"/>
          <w:b/>
          <w:bCs/>
          <w:sz w:val="32"/>
          <w:szCs w:val="36"/>
          <w:lang w:val="en-US"/>
        </w:rPr>
        <w:t>methods</w:t>
      </w:r>
    </w:p>
    <w:p w14:paraId="08FC6B78" w14:textId="77777777" w:rsidR="004223B5" w:rsidRPr="004223B5" w:rsidRDefault="004223B5" w:rsidP="004223B5">
      <w:pPr>
        <w:widowControl w:val="0"/>
        <w:autoSpaceDE w:val="0"/>
        <w:autoSpaceDN w:val="0"/>
        <w:spacing w:before="240" w:after="240"/>
        <w:jc w:val="both"/>
        <w:outlineLvl w:val="0"/>
        <w:rPr>
          <w:rFonts w:ascii="Arial" w:eastAsia="Arial" w:hAnsi="Arial" w:cs="Arial"/>
          <w:sz w:val="22"/>
          <w:szCs w:val="22"/>
          <w:lang w:val="en-US"/>
        </w:rPr>
      </w:pPr>
      <w:r w:rsidRPr="004223B5">
        <w:rPr>
          <w:rFonts w:ascii="Arial" w:eastAsia="Arial" w:hAnsi="Arial" w:cs="Arial"/>
          <w:sz w:val="22"/>
          <w:szCs w:val="22"/>
          <w:lang w:val="en-US"/>
        </w:rPr>
        <w:t xml:space="preserve">Students will take part in weekly seminar focusing on the horizontal issues – they will include theoretical background and legal aspect of International Organizations and other governance structures. The crucial global institutions like the United Nations, International Court of Justice and G7 will also be discussed during seminar. Workshops will serve as a platform to analyze chosen organizations and discuss different aspects of global corporations and their social responsibility. </w:t>
      </w:r>
    </w:p>
    <w:tbl>
      <w:tblPr>
        <w:tblStyle w:val="GridTable1Light1"/>
        <w:tblW w:w="5000" w:type="pct"/>
        <w:tblLook w:val="06A0" w:firstRow="1" w:lastRow="0" w:firstColumn="1" w:lastColumn="0" w:noHBand="1" w:noVBand="1"/>
      </w:tblPr>
      <w:tblGrid>
        <w:gridCol w:w="5098"/>
        <w:gridCol w:w="1986"/>
        <w:gridCol w:w="1926"/>
      </w:tblGrid>
      <w:tr w:rsidR="004223B5" w:rsidRPr="004223B5" w14:paraId="49933B39" w14:textId="77777777" w:rsidTr="00FE71EB">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6B37FC2"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Activity type</w:t>
            </w:r>
          </w:p>
        </w:tc>
        <w:tc>
          <w:tcPr>
            <w:tcW w:w="1102" w:type="pct"/>
          </w:tcPr>
          <w:p w14:paraId="3F3912EA" w14:textId="77777777" w:rsidR="004223B5" w:rsidRPr="004223B5" w:rsidRDefault="004223B5" w:rsidP="004223B5">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Category</w:t>
            </w:r>
          </w:p>
        </w:tc>
        <w:tc>
          <w:tcPr>
            <w:tcW w:w="1069" w:type="pct"/>
          </w:tcPr>
          <w:p w14:paraId="0B9761E5" w14:textId="77777777" w:rsidR="004223B5" w:rsidRPr="004223B5" w:rsidRDefault="004223B5" w:rsidP="004223B5">
            <w:pPr>
              <w:spacing w:before="80" w:after="80"/>
              <w:contextualSpacing/>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Student learning and teaching hours*</w:t>
            </w:r>
          </w:p>
        </w:tc>
      </w:tr>
      <w:tr w:rsidR="004223B5" w:rsidRPr="004223B5" w14:paraId="49D05E9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3053D9EB"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Lecture</w:t>
            </w:r>
          </w:p>
        </w:tc>
        <w:tc>
          <w:tcPr>
            <w:tcW w:w="1102" w:type="pct"/>
          </w:tcPr>
          <w:p w14:paraId="1BDBC88B"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59A92A80"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4D4D265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9C8DA5C"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Seminar</w:t>
            </w:r>
          </w:p>
        </w:tc>
        <w:tc>
          <w:tcPr>
            <w:tcW w:w="1102" w:type="pct"/>
          </w:tcPr>
          <w:p w14:paraId="096DD4AA"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55843E0C"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45</w:t>
            </w:r>
          </w:p>
        </w:tc>
      </w:tr>
      <w:tr w:rsidR="004223B5" w:rsidRPr="004223B5" w14:paraId="2BFC4A8E"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3C53C4A"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Tutorial</w:t>
            </w:r>
          </w:p>
        </w:tc>
        <w:tc>
          <w:tcPr>
            <w:tcW w:w="1102" w:type="pct"/>
          </w:tcPr>
          <w:p w14:paraId="60A6A472"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73FF80C7"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4A97E478"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8C4F199"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Project supervisor</w:t>
            </w:r>
          </w:p>
        </w:tc>
        <w:tc>
          <w:tcPr>
            <w:tcW w:w="1102" w:type="pct"/>
          </w:tcPr>
          <w:p w14:paraId="06751D0E"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55E8447A"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411554A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4024BBDE"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Demonstration</w:t>
            </w:r>
          </w:p>
        </w:tc>
        <w:tc>
          <w:tcPr>
            <w:tcW w:w="1102" w:type="pct"/>
          </w:tcPr>
          <w:p w14:paraId="5C47F92E"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502F4921"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0CCB7F99"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6A5D4017"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Practical classes and workshops</w:t>
            </w:r>
          </w:p>
        </w:tc>
        <w:tc>
          <w:tcPr>
            <w:tcW w:w="1102" w:type="pct"/>
          </w:tcPr>
          <w:p w14:paraId="16709FC1"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79AD6A14"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30</w:t>
            </w:r>
          </w:p>
        </w:tc>
      </w:tr>
      <w:tr w:rsidR="004223B5" w:rsidRPr="004223B5" w14:paraId="78DB4170"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5EACD7F"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Supervised time in studio/workshop</w:t>
            </w:r>
          </w:p>
        </w:tc>
        <w:tc>
          <w:tcPr>
            <w:tcW w:w="1102" w:type="pct"/>
          </w:tcPr>
          <w:p w14:paraId="4BDA74D3"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16C0ADE1"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473069D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E6A6871"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Fieldwork</w:t>
            </w:r>
          </w:p>
        </w:tc>
        <w:tc>
          <w:tcPr>
            <w:tcW w:w="1102" w:type="pct"/>
          </w:tcPr>
          <w:p w14:paraId="2335692E"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5310D10B"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47459CA6"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7592497"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External visits</w:t>
            </w:r>
          </w:p>
        </w:tc>
        <w:tc>
          <w:tcPr>
            <w:tcW w:w="1102" w:type="pct"/>
          </w:tcPr>
          <w:p w14:paraId="21DD7346"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479C03AB"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0135DF1A"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4976ADD"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Work based learning</w:t>
            </w:r>
          </w:p>
        </w:tc>
        <w:tc>
          <w:tcPr>
            <w:tcW w:w="1102" w:type="pct"/>
          </w:tcPr>
          <w:p w14:paraId="4FEB82F7"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190C200A"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7CF5C3C7"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ABC9628"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Scheduled online learning</w:t>
            </w:r>
          </w:p>
        </w:tc>
        <w:tc>
          <w:tcPr>
            <w:tcW w:w="1102" w:type="pct"/>
          </w:tcPr>
          <w:p w14:paraId="7FD9285D"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48EE6717"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0A74326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7B64B51B"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Other learning</w:t>
            </w:r>
          </w:p>
        </w:tc>
        <w:tc>
          <w:tcPr>
            <w:tcW w:w="1102" w:type="pct"/>
          </w:tcPr>
          <w:p w14:paraId="6184CAC3"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Scheduled</w:t>
            </w:r>
          </w:p>
        </w:tc>
        <w:tc>
          <w:tcPr>
            <w:tcW w:w="1069" w:type="pct"/>
          </w:tcPr>
          <w:p w14:paraId="3E6381B8"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5AE43BCF"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6BD9878"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Total scheduled</w:t>
            </w:r>
          </w:p>
        </w:tc>
        <w:tc>
          <w:tcPr>
            <w:tcW w:w="1102" w:type="pct"/>
          </w:tcPr>
          <w:p w14:paraId="528EF647"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518AF4F5"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75</w:t>
            </w:r>
          </w:p>
        </w:tc>
      </w:tr>
      <w:tr w:rsidR="004223B5" w:rsidRPr="004223B5" w14:paraId="5554A3D2"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00D7681E"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Placement</w:t>
            </w:r>
          </w:p>
        </w:tc>
        <w:tc>
          <w:tcPr>
            <w:tcW w:w="1102" w:type="pct"/>
          </w:tcPr>
          <w:p w14:paraId="62C1FA4C"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Placement</w:t>
            </w:r>
          </w:p>
        </w:tc>
        <w:tc>
          <w:tcPr>
            <w:tcW w:w="1069" w:type="pct"/>
          </w:tcPr>
          <w:p w14:paraId="46AC26AD"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4223B5" w:rsidRPr="004223B5" w14:paraId="7B1E72EB"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2B1D9B7D"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Independent study</w:t>
            </w:r>
          </w:p>
        </w:tc>
        <w:tc>
          <w:tcPr>
            <w:tcW w:w="1102" w:type="pct"/>
          </w:tcPr>
          <w:p w14:paraId="29E2C8FA"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Independent</w:t>
            </w:r>
          </w:p>
        </w:tc>
        <w:tc>
          <w:tcPr>
            <w:tcW w:w="1069" w:type="pct"/>
          </w:tcPr>
          <w:p w14:paraId="7C44EBFE"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125</w:t>
            </w:r>
          </w:p>
        </w:tc>
      </w:tr>
      <w:tr w:rsidR="004223B5" w:rsidRPr="004223B5" w14:paraId="21C0D45E" w14:textId="77777777" w:rsidTr="00FE71EB">
        <w:trPr>
          <w:cantSplit/>
          <w:trHeight w:val="397"/>
        </w:trPr>
        <w:tc>
          <w:tcPr>
            <w:cnfStyle w:val="001000000000" w:firstRow="0" w:lastRow="0" w:firstColumn="1" w:lastColumn="0" w:oddVBand="0" w:evenVBand="0" w:oddHBand="0" w:evenHBand="0" w:firstRowFirstColumn="0" w:firstRowLastColumn="0" w:lastRowFirstColumn="0" w:lastRowLastColumn="0"/>
            <w:tcW w:w="2829" w:type="pct"/>
          </w:tcPr>
          <w:p w14:paraId="5A2BA71E" w14:textId="77777777" w:rsidR="004223B5" w:rsidRPr="004223B5" w:rsidRDefault="004223B5" w:rsidP="004223B5">
            <w:pPr>
              <w:spacing w:before="80" w:after="80"/>
              <w:contextualSpacing/>
              <w:rPr>
                <w:rFonts w:ascii="Arial" w:eastAsia="Arial" w:hAnsi="Arial" w:cs="Arial"/>
              </w:rPr>
            </w:pPr>
            <w:r w:rsidRPr="004223B5">
              <w:rPr>
                <w:rFonts w:ascii="Arial" w:eastAsia="Arial" w:hAnsi="Arial" w:cs="Arial"/>
              </w:rPr>
              <w:t>Total student learning and teaching hours</w:t>
            </w:r>
          </w:p>
        </w:tc>
        <w:tc>
          <w:tcPr>
            <w:tcW w:w="1102" w:type="pct"/>
          </w:tcPr>
          <w:p w14:paraId="57B70C94"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69" w:type="pct"/>
          </w:tcPr>
          <w:p w14:paraId="246A6C13" w14:textId="77777777" w:rsidR="004223B5" w:rsidRPr="004223B5" w:rsidRDefault="004223B5" w:rsidP="004223B5">
            <w:pPr>
              <w:spacing w:before="80" w:after="8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223B5">
              <w:rPr>
                <w:rFonts w:ascii="Arial" w:eastAsia="Arial" w:hAnsi="Arial" w:cs="Arial"/>
              </w:rPr>
              <w:t>200</w:t>
            </w:r>
          </w:p>
        </w:tc>
      </w:tr>
    </w:tbl>
    <w:p w14:paraId="7D9FEE37" w14:textId="77777777" w:rsidR="004223B5" w:rsidRPr="004223B5" w:rsidRDefault="004223B5" w:rsidP="004223B5">
      <w:pPr>
        <w:widowControl w:val="0"/>
        <w:autoSpaceDE w:val="0"/>
        <w:autoSpaceDN w:val="0"/>
        <w:spacing w:before="120" w:after="120"/>
        <w:contextualSpacing/>
        <w:rPr>
          <w:rFonts w:ascii="Arial" w:eastAsia="Arial" w:hAnsi="Arial" w:cs="Arial"/>
          <w:sz w:val="22"/>
          <w:szCs w:val="22"/>
          <w:lang w:val="en-US"/>
        </w:rPr>
      </w:pPr>
      <w:r w:rsidRPr="004223B5">
        <w:rPr>
          <w:rFonts w:ascii="Arial" w:eastAsia="Arial" w:hAnsi="Arial" w:cs="Arial"/>
          <w:sz w:val="22"/>
          <w:szCs w:val="22"/>
          <w:lang w:val="en-US"/>
        </w:rPr>
        <w:t>*</w:t>
      </w:r>
      <w:proofErr w:type="gramStart"/>
      <w:r w:rsidRPr="004223B5">
        <w:rPr>
          <w:rFonts w:ascii="Arial" w:eastAsia="Arial" w:hAnsi="Arial" w:cs="Arial"/>
          <w:sz w:val="22"/>
          <w:szCs w:val="22"/>
          <w:lang w:val="en-US"/>
        </w:rPr>
        <w:t>hours</w:t>
      </w:r>
      <w:proofErr w:type="gramEnd"/>
      <w:r w:rsidRPr="004223B5">
        <w:rPr>
          <w:rFonts w:ascii="Arial" w:eastAsia="Arial" w:hAnsi="Arial" w:cs="Arial"/>
          <w:sz w:val="22"/>
          <w:szCs w:val="22"/>
          <w:lang w:val="en-US"/>
        </w:rPr>
        <w:t xml:space="preserve"> per activity type are indicative and subject to change.</w:t>
      </w:r>
    </w:p>
    <w:p w14:paraId="7B82AC89" w14:textId="77777777" w:rsidR="004223B5" w:rsidRPr="004223B5" w:rsidRDefault="004223B5" w:rsidP="004223B5">
      <w:pPr>
        <w:widowControl w:val="0"/>
        <w:autoSpaceDE w:val="0"/>
        <w:autoSpaceDN w:val="0"/>
        <w:spacing w:after="120"/>
        <w:contextualSpacing/>
        <w:rPr>
          <w:rFonts w:ascii="Arial" w:eastAsia="Arial" w:hAnsi="Arial" w:cs="Arial"/>
          <w:sz w:val="22"/>
          <w:szCs w:val="22"/>
          <w:lang w:val="en-US"/>
        </w:rPr>
      </w:pPr>
    </w:p>
    <w:p w14:paraId="5F220E03" w14:textId="77777777" w:rsidR="004223B5" w:rsidRPr="004223B5" w:rsidRDefault="004223B5" w:rsidP="004223B5">
      <w:pPr>
        <w:widowControl w:val="0"/>
        <w:autoSpaceDE w:val="0"/>
        <w:autoSpaceDN w:val="0"/>
        <w:spacing w:before="240" w:after="240"/>
        <w:outlineLvl w:val="0"/>
        <w:rPr>
          <w:rFonts w:ascii="Arial" w:eastAsia="Arial" w:hAnsi="Arial" w:cs="Arial"/>
          <w:b/>
          <w:bCs/>
          <w:sz w:val="32"/>
          <w:szCs w:val="36"/>
          <w:lang w:val="en-US"/>
        </w:rPr>
      </w:pPr>
      <w:r w:rsidRPr="004223B5">
        <w:rPr>
          <w:rFonts w:ascii="Arial" w:eastAsia="Arial" w:hAnsi="Arial" w:cs="Arial"/>
          <w:b/>
          <w:bCs/>
          <w:sz w:val="32"/>
          <w:szCs w:val="36"/>
          <w:lang w:val="en-US"/>
        </w:rPr>
        <w:t>Assessment rationale: why has this assessment been used for this module?</w:t>
      </w:r>
    </w:p>
    <w:p w14:paraId="388067E0" w14:textId="77777777" w:rsidR="004223B5" w:rsidRPr="004223B5" w:rsidRDefault="004223B5" w:rsidP="004223B5">
      <w:pPr>
        <w:widowControl w:val="0"/>
        <w:autoSpaceDE w:val="0"/>
        <w:autoSpaceDN w:val="0"/>
        <w:spacing w:before="240" w:after="240"/>
        <w:jc w:val="both"/>
        <w:outlineLvl w:val="0"/>
        <w:rPr>
          <w:rFonts w:ascii="Arial" w:eastAsia="Arial" w:hAnsi="Arial" w:cs="Arial"/>
          <w:sz w:val="22"/>
          <w:szCs w:val="22"/>
          <w:lang w:val="en-US"/>
        </w:rPr>
      </w:pPr>
      <w:r w:rsidRPr="004223B5">
        <w:rPr>
          <w:rFonts w:ascii="Arial" w:eastAsia="Arial" w:hAnsi="Arial" w:cs="Arial"/>
          <w:b/>
          <w:bCs/>
          <w:sz w:val="22"/>
          <w:szCs w:val="22"/>
          <w:lang w:val="en-US"/>
        </w:rPr>
        <w:t>Policy brief</w:t>
      </w:r>
      <w:r w:rsidRPr="004223B5">
        <w:rPr>
          <w:rFonts w:ascii="Arial" w:eastAsia="Arial" w:hAnsi="Arial" w:cs="Arial"/>
          <w:sz w:val="22"/>
          <w:szCs w:val="22"/>
          <w:lang w:val="en-US"/>
        </w:rPr>
        <w:t xml:space="preserve"> (2000 words, 50%): it is to make a link between academic knowledge and communication skills. Briefs’ topics will be presented to the students in the first class, considering pressing international issues, reported by the media. They can have a form of policy recommendations, position taken by the actor of civil society, reporting institutional activities, etc. (LOs 2 and 6).</w:t>
      </w:r>
    </w:p>
    <w:p w14:paraId="311DCD99" w14:textId="77777777" w:rsidR="004223B5" w:rsidRPr="004223B5" w:rsidRDefault="004223B5" w:rsidP="004223B5">
      <w:pPr>
        <w:widowControl w:val="0"/>
        <w:autoSpaceDE w:val="0"/>
        <w:autoSpaceDN w:val="0"/>
        <w:spacing w:before="240" w:after="240"/>
        <w:jc w:val="both"/>
        <w:outlineLvl w:val="0"/>
        <w:rPr>
          <w:rFonts w:ascii="Arial" w:eastAsia="Arial" w:hAnsi="Arial" w:cs="Arial"/>
          <w:sz w:val="22"/>
          <w:szCs w:val="22"/>
          <w:lang w:val="en-US"/>
        </w:rPr>
      </w:pPr>
      <w:r w:rsidRPr="004223B5">
        <w:rPr>
          <w:rFonts w:ascii="Arial" w:eastAsia="Arial" w:hAnsi="Arial" w:cs="Arial"/>
          <w:b/>
          <w:bCs/>
          <w:sz w:val="22"/>
          <w:szCs w:val="22"/>
          <w:lang w:val="en-US"/>
        </w:rPr>
        <w:t>In-class participation (debate):</w:t>
      </w:r>
      <w:r w:rsidRPr="004223B5">
        <w:rPr>
          <w:rFonts w:ascii="Arial" w:eastAsia="Arial" w:hAnsi="Arial" w:cs="Arial"/>
          <w:sz w:val="22"/>
          <w:szCs w:val="22"/>
          <w:lang w:val="en-US"/>
        </w:rPr>
        <w:t xml:space="preserve"> it will take the form of a debate simulating a meeting of an international body. Its topic will be chosen by the teacher at the beginning of the semester after consultation with students who will play different roles in the debate. Their preliminary work will include preparing formal written statements and stakeholder input (students will form stakeholder delegations engaging in group work). They will also be involved in the process of organizing the final debate, its moderation and all other practical issues related to functioning in a multi-ethnic environment. The final debate imitating the meeting of the international body will engage all the students with topic chosen by teachers in consultation with the students each year and the roles distributed at the beginning of the semester. The student’s contribution to the debate, quality of arguments, and engagement will be assessed individually. The duration of the debate, including the remarks and feedback of the teacher, will be the length of one seminar class, which is around 3 hours.  (LOs 1, 3, 4 and 5).</w:t>
      </w:r>
    </w:p>
    <w:p w14:paraId="5F653C86" w14:textId="77777777" w:rsidR="004223B5" w:rsidRPr="004223B5" w:rsidRDefault="004223B5" w:rsidP="004223B5">
      <w:pPr>
        <w:widowControl w:val="0"/>
        <w:autoSpaceDE w:val="0"/>
        <w:autoSpaceDN w:val="0"/>
        <w:spacing w:before="240" w:after="240"/>
        <w:jc w:val="both"/>
        <w:outlineLvl w:val="0"/>
        <w:rPr>
          <w:rFonts w:ascii="Arial" w:eastAsia="Arial" w:hAnsi="Arial" w:cs="Arial"/>
          <w:b/>
          <w:bCs/>
          <w:sz w:val="32"/>
          <w:szCs w:val="36"/>
          <w:lang w:val="en-US"/>
        </w:rPr>
      </w:pPr>
      <w:r w:rsidRPr="004223B5">
        <w:rPr>
          <w:rFonts w:ascii="Arial" w:eastAsia="Arial" w:hAnsi="Arial" w:cs="Arial"/>
          <w:b/>
          <w:bCs/>
          <w:sz w:val="32"/>
          <w:szCs w:val="36"/>
          <w:lang w:val="en-US"/>
        </w:rPr>
        <w:t>Assessment criteria: what criteria will be used to assess my work on this module?</w:t>
      </w:r>
    </w:p>
    <w:p w14:paraId="49CFC7A2" w14:textId="77777777" w:rsidR="004223B5" w:rsidRPr="004223B5" w:rsidRDefault="004223B5" w:rsidP="004223B5">
      <w:pPr>
        <w:widowControl w:val="0"/>
        <w:autoSpaceDE w:val="0"/>
        <w:autoSpaceDN w:val="0"/>
        <w:spacing w:before="240" w:after="240"/>
        <w:jc w:val="both"/>
        <w:outlineLvl w:val="0"/>
        <w:rPr>
          <w:rFonts w:ascii="Arial" w:eastAsia="Arial" w:hAnsi="Arial" w:cs="Arial"/>
          <w:sz w:val="22"/>
          <w:szCs w:val="22"/>
          <w:lang w:val="en-GB"/>
        </w:rPr>
      </w:pPr>
      <w:r w:rsidRPr="004223B5">
        <w:rPr>
          <w:rFonts w:ascii="Arial" w:eastAsia="Arial" w:hAnsi="Arial" w:cs="Arial"/>
          <w:b/>
          <w:bCs/>
          <w:sz w:val="22"/>
          <w:szCs w:val="22"/>
          <w:lang w:val="en-US"/>
        </w:rPr>
        <w:t xml:space="preserve">Policy brief </w:t>
      </w:r>
      <w:r w:rsidRPr="004223B5">
        <w:rPr>
          <w:rFonts w:ascii="Arial" w:eastAsia="Arial" w:hAnsi="Arial" w:cs="Arial"/>
          <w:sz w:val="22"/>
          <w:szCs w:val="22"/>
          <w:lang w:val="en-GB"/>
        </w:rPr>
        <w:t>will be assessed based on the following criteria: (1) clarity and structure, (2) analytical depth and evidence, (3) relevance and practicality of recommendations, (4) writing quality.</w:t>
      </w:r>
    </w:p>
    <w:p w14:paraId="432A5B5B" w14:textId="77777777" w:rsidR="004223B5" w:rsidRPr="004223B5" w:rsidRDefault="004223B5" w:rsidP="004223B5">
      <w:pPr>
        <w:widowControl w:val="0"/>
        <w:autoSpaceDE w:val="0"/>
        <w:autoSpaceDN w:val="0"/>
        <w:spacing w:before="240" w:after="240"/>
        <w:jc w:val="both"/>
        <w:outlineLvl w:val="0"/>
        <w:rPr>
          <w:rFonts w:ascii="Arial" w:eastAsia="Arial" w:hAnsi="Arial" w:cs="Arial"/>
          <w:sz w:val="22"/>
          <w:szCs w:val="22"/>
          <w:lang w:val="en-US"/>
        </w:rPr>
      </w:pPr>
      <w:r w:rsidRPr="004223B5">
        <w:rPr>
          <w:rFonts w:ascii="Arial" w:eastAsia="Arial" w:hAnsi="Arial" w:cs="Arial"/>
          <w:b/>
          <w:bCs/>
          <w:sz w:val="22"/>
          <w:szCs w:val="22"/>
          <w:lang w:val="en-US"/>
        </w:rPr>
        <w:t>Debate:</w:t>
      </w:r>
      <w:r w:rsidRPr="004223B5">
        <w:rPr>
          <w:rFonts w:ascii="Arial" w:eastAsia="Arial" w:hAnsi="Arial" w:cs="Arial"/>
          <w:b/>
          <w:bCs/>
          <w:sz w:val="32"/>
          <w:szCs w:val="36"/>
          <w:lang w:val="en-US"/>
        </w:rPr>
        <w:t xml:space="preserve"> </w:t>
      </w:r>
      <w:r w:rsidRPr="004223B5">
        <w:rPr>
          <w:rFonts w:ascii="Arial" w:eastAsia="Arial" w:hAnsi="Arial" w:cs="Arial"/>
          <w:sz w:val="22"/>
          <w:szCs w:val="22"/>
          <w:lang w:val="en-US"/>
        </w:rPr>
        <w:t xml:space="preserve">Students’ participation in the debate will be assessed individually </w:t>
      </w:r>
      <w:proofErr w:type="gramStart"/>
      <w:r w:rsidRPr="004223B5">
        <w:rPr>
          <w:rFonts w:ascii="Arial" w:eastAsia="Arial" w:hAnsi="Arial" w:cs="Arial"/>
          <w:sz w:val="22"/>
          <w:szCs w:val="22"/>
          <w:lang w:val="en-US"/>
        </w:rPr>
        <w:t>taking into account</w:t>
      </w:r>
      <w:proofErr w:type="gramEnd"/>
      <w:r w:rsidRPr="004223B5">
        <w:rPr>
          <w:rFonts w:ascii="Arial" w:eastAsia="Arial" w:hAnsi="Arial" w:cs="Arial"/>
          <w:sz w:val="22"/>
          <w:szCs w:val="22"/>
          <w:lang w:val="en-US"/>
        </w:rPr>
        <w:t xml:space="preserve"> (1) the groundwork done in preparation for the actual debate, (</w:t>
      </w:r>
      <w:proofErr w:type="gramStart"/>
      <w:r w:rsidRPr="004223B5">
        <w:rPr>
          <w:rFonts w:ascii="Arial" w:eastAsia="Arial" w:hAnsi="Arial" w:cs="Arial"/>
          <w:sz w:val="22"/>
          <w:szCs w:val="22"/>
          <w:lang w:val="en-US"/>
        </w:rPr>
        <w:t>2)performance</w:t>
      </w:r>
      <w:proofErr w:type="gramEnd"/>
      <w:r w:rsidRPr="004223B5">
        <w:rPr>
          <w:rFonts w:ascii="Arial" w:eastAsia="Arial" w:hAnsi="Arial" w:cs="Arial"/>
          <w:sz w:val="22"/>
          <w:szCs w:val="22"/>
          <w:lang w:val="en-US"/>
        </w:rPr>
        <w:t xml:space="preserve"> during it. Written contributions (formal statements) will be assessed for (3) substance, clarity and form. Performance will be graded </w:t>
      </w:r>
      <w:proofErr w:type="gramStart"/>
      <w:r w:rsidRPr="004223B5">
        <w:rPr>
          <w:rFonts w:ascii="Arial" w:eastAsia="Arial" w:hAnsi="Arial" w:cs="Arial"/>
          <w:sz w:val="22"/>
          <w:szCs w:val="22"/>
          <w:lang w:val="en-US"/>
        </w:rPr>
        <w:t>on the basis of</w:t>
      </w:r>
      <w:proofErr w:type="gramEnd"/>
      <w:r w:rsidRPr="004223B5">
        <w:rPr>
          <w:rFonts w:ascii="Arial" w:eastAsia="Arial" w:hAnsi="Arial" w:cs="Arial"/>
          <w:sz w:val="22"/>
          <w:szCs w:val="22"/>
          <w:lang w:val="en-US"/>
        </w:rPr>
        <w:t xml:space="preserve"> (4) commitment, style and coherence in pursuing negotiation goals.</w:t>
      </w:r>
    </w:p>
    <w:p w14:paraId="4AFF932A" w14:textId="77777777" w:rsidR="004223B5" w:rsidRPr="004223B5" w:rsidRDefault="004223B5" w:rsidP="004223B5">
      <w:pPr>
        <w:widowControl w:val="0"/>
        <w:autoSpaceDE w:val="0"/>
        <w:autoSpaceDN w:val="0"/>
        <w:spacing w:after="120"/>
        <w:jc w:val="both"/>
        <w:rPr>
          <w:rFonts w:ascii="Arial" w:eastAsia="Arial" w:hAnsi="Arial" w:cs="Arial"/>
          <w:sz w:val="22"/>
          <w:szCs w:val="22"/>
          <w:lang w:val="en-US"/>
        </w:rPr>
      </w:pPr>
      <w:r w:rsidRPr="004223B5">
        <w:rPr>
          <w:rFonts w:ascii="Arial" w:eastAsia="Arial" w:hAnsi="Arial" w:cs="Arial"/>
          <w:sz w:val="22"/>
          <w:szCs w:val="22"/>
          <w:lang w:val="en-US"/>
        </w:rPr>
        <w:t>The assessments will examine to what extent the student has demonstrated ability to:</w:t>
      </w:r>
    </w:p>
    <w:p w14:paraId="49BD9BAF" w14:textId="77777777" w:rsidR="004223B5" w:rsidRPr="004223B5" w:rsidRDefault="004223B5" w:rsidP="004223B5">
      <w:pPr>
        <w:widowControl w:val="0"/>
        <w:numPr>
          <w:ilvl w:val="0"/>
          <w:numId w:val="1"/>
        </w:numPr>
        <w:autoSpaceDE w:val="0"/>
        <w:autoSpaceDN w:val="0"/>
        <w:spacing w:after="120"/>
        <w:contextualSpacing/>
        <w:jc w:val="both"/>
        <w:rPr>
          <w:rFonts w:ascii="Arial" w:eastAsia="Arial" w:hAnsi="Arial" w:cs="Arial"/>
          <w:sz w:val="22"/>
          <w:szCs w:val="22"/>
          <w:lang w:val="en-US"/>
        </w:rPr>
      </w:pPr>
      <w:proofErr w:type="spellStart"/>
      <w:r w:rsidRPr="004223B5">
        <w:rPr>
          <w:rFonts w:ascii="Arial" w:eastAsia="Arial" w:hAnsi="Arial" w:cs="Arial"/>
          <w:sz w:val="22"/>
          <w:szCs w:val="22"/>
          <w:lang w:val="en-US"/>
        </w:rPr>
        <w:t>Analyse</w:t>
      </w:r>
      <w:proofErr w:type="spellEnd"/>
      <w:r w:rsidRPr="004223B5">
        <w:rPr>
          <w:rFonts w:ascii="Arial" w:eastAsia="Arial" w:hAnsi="Arial" w:cs="Arial"/>
          <w:sz w:val="22"/>
          <w:szCs w:val="22"/>
          <w:lang w:val="en-US"/>
        </w:rPr>
        <w:t xml:space="preserve"> the role of international </w:t>
      </w:r>
      <w:proofErr w:type="spellStart"/>
      <w:r w:rsidRPr="004223B5">
        <w:rPr>
          <w:rFonts w:ascii="Arial" w:eastAsia="Arial" w:hAnsi="Arial" w:cs="Arial"/>
          <w:sz w:val="22"/>
          <w:szCs w:val="22"/>
          <w:lang w:val="en-US"/>
        </w:rPr>
        <w:t>organisations</w:t>
      </w:r>
      <w:proofErr w:type="spellEnd"/>
      <w:r w:rsidRPr="004223B5">
        <w:rPr>
          <w:rFonts w:ascii="Arial" w:eastAsia="Arial" w:hAnsi="Arial" w:cs="Arial"/>
          <w:sz w:val="22"/>
          <w:szCs w:val="22"/>
          <w:lang w:val="en-US"/>
        </w:rPr>
        <w:t xml:space="preserve"> in shaping regional and global governance.</w:t>
      </w:r>
    </w:p>
    <w:p w14:paraId="0A0A51DC" w14:textId="77777777" w:rsidR="004223B5" w:rsidRPr="004223B5" w:rsidRDefault="004223B5" w:rsidP="004223B5">
      <w:pPr>
        <w:widowControl w:val="0"/>
        <w:numPr>
          <w:ilvl w:val="0"/>
          <w:numId w:val="1"/>
        </w:numPr>
        <w:autoSpaceDE w:val="0"/>
        <w:autoSpaceDN w:val="0"/>
        <w:spacing w:after="120"/>
        <w:contextualSpacing/>
        <w:jc w:val="both"/>
        <w:rPr>
          <w:rFonts w:ascii="Arial" w:eastAsia="Arial" w:hAnsi="Arial" w:cs="Arial"/>
          <w:sz w:val="22"/>
          <w:szCs w:val="22"/>
          <w:lang w:val="en-US"/>
        </w:rPr>
      </w:pPr>
      <w:r w:rsidRPr="004223B5">
        <w:rPr>
          <w:rFonts w:ascii="Arial" w:eastAsia="Arial" w:hAnsi="Arial" w:cs="Arial"/>
          <w:sz w:val="22"/>
          <w:szCs w:val="22"/>
          <w:lang w:val="en-US"/>
        </w:rPr>
        <w:t>Evaluate how civil society influences international relations through NGOs and advocacy networks.</w:t>
      </w:r>
    </w:p>
    <w:p w14:paraId="48F30AC3" w14:textId="77777777" w:rsidR="004223B5" w:rsidRPr="004223B5" w:rsidRDefault="004223B5" w:rsidP="004223B5">
      <w:pPr>
        <w:widowControl w:val="0"/>
        <w:numPr>
          <w:ilvl w:val="0"/>
          <w:numId w:val="1"/>
        </w:numPr>
        <w:autoSpaceDE w:val="0"/>
        <w:autoSpaceDN w:val="0"/>
        <w:spacing w:after="120"/>
        <w:contextualSpacing/>
        <w:jc w:val="both"/>
        <w:rPr>
          <w:rFonts w:ascii="Arial" w:eastAsia="Arial" w:hAnsi="Arial" w:cs="Arial"/>
          <w:sz w:val="22"/>
          <w:szCs w:val="22"/>
          <w:lang w:val="en-US"/>
        </w:rPr>
      </w:pPr>
      <w:r w:rsidRPr="004223B5">
        <w:rPr>
          <w:rFonts w:ascii="Arial" w:eastAsia="Arial" w:hAnsi="Arial" w:cs="Arial"/>
          <w:sz w:val="22"/>
          <w:szCs w:val="22"/>
          <w:lang w:val="en-US"/>
        </w:rPr>
        <w:t>Assess how public and private actors compete and collaborate in global governance.</w:t>
      </w:r>
    </w:p>
    <w:p w14:paraId="2EF0AA44" w14:textId="77777777" w:rsidR="004223B5" w:rsidRPr="004223B5" w:rsidRDefault="004223B5" w:rsidP="004223B5">
      <w:pPr>
        <w:widowControl w:val="0"/>
        <w:numPr>
          <w:ilvl w:val="0"/>
          <w:numId w:val="1"/>
        </w:numPr>
        <w:autoSpaceDE w:val="0"/>
        <w:autoSpaceDN w:val="0"/>
        <w:spacing w:after="120"/>
        <w:contextualSpacing/>
        <w:jc w:val="both"/>
        <w:rPr>
          <w:rFonts w:ascii="Arial" w:eastAsia="Arial" w:hAnsi="Arial" w:cs="Arial"/>
          <w:sz w:val="22"/>
          <w:szCs w:val="22"/>
          <w:lang w:val="en-US"/>
        </w:rPr>
      </w:pPr>
      <w:r w:rsidRPr="004223B5">
        <w:rPr>
          <w:rFonts w:ascii="Arial" w:eastAsia="Arial" w:hAnsi="Arial" w:cs="Arial"/>
          <w:sz w:val="22"/>
          <w:szCs w:val="22"/>
          <w:lang w:val="en-US"/>
        </w:rPr>
        <w:t>Identify and explain the influence of transnational corporations in global and regional politics.</w:t>
      </w:r>
    </w:p>
    <w:p w14:paraId="61C0BADB" w14:textId="77777777" w:rsidR="004223B5" w:rsidRPr="004223B5" w:rsidRDefault="004223B5" w:rsidP="004223B5">
      <w:pPr>
        <w:widowControl w:val="0"/>
        <w:numPr>
          <w:ilvl w:val="0"/>
          <w:numId w:val="1"/>
        </w:numPr>
        <w:autoSpaceDE w:val="0"/>
        <w:autoSpaceDN w:val="0"/>
        <w:spacing w:after="120"/>
        <w:contextualSpacing/>
        <w:jc w:val="both"/>
        <w:rPr>
          <w:rFonts w:ascii="Arial" w:eastAsia="Arial" w:hAnsi="Arial" w:cs="Arial"/>
          <w:sz w:val="22"/>
          <w:szCs w:val="22"/>
          <w:lang w:val="en-US"/>
        </w:rPr>
      </w:pPr>
      <w:r w:rsidRPr="004223B5">
        <w:rPr>
          <w:rFonts w:ascii="Arial" w:eastAsia="Arial" w:hAnsi="Arial" w:cs="Arial"/>
          <w:sz w:val="22"/>
          <w:szCs w:val="22"/>
          <w:lang w:val="en-US"/>
        </w:rPr>
        <w:t>Critically assess the strengths and limitations of the UN and its agencies.</w:t>
      </w:r>
    </w:p>
    <w:p w14:paraId="39CD60B1" w14:textId="77777777" w:rsidR="004223B5" w:rsidRPr="004223B5" w:rsidRDefault="004223B5" w:rsidP="004223B5">
      <w:pPr>
        <w:widowControl w:val="0"/>
        <w:numPr>
          <w:ilvl w:val="0"/>
          <w:numId w:val="1"/>
        </w:numPr>
        <w:autoSpaceDE w:val="0"/>
        <w:autoSpaceDN w:val="0"/>
        <w:spacing w:after="120"/>
        <w:contextualSpacing/>
        <w:jc w:val="both"/>
        <w:rPr>
          <w:rFonts w:ascii="Arial" w:eastAsia="Arial" w:hAnsi="Arial" w:cs="Arial"/>
          <w:sz w:val="22"/>
          <w:szCs w:val="22"/>
          <w:lang w:val="en-US"/>
        </w:rPr>
      </w:pPr>
      <w:r w:rsidRPr="004223B5">
        <w:rPr>
          <w:rFonts w:ascii="Arial" w:eastAsia="Arial" w:hAnsi="Arial" w:cs="Arial"/>
          <w:sz w:val="22"/>
          <w:szCs w:val="22"/>
          <w:lang w:val="en-US"/>
        </w:rPr>
        <w:t>Debate the interests and motives of global actors in shaping governance structures.</w:t>
      </w:r>
    </w:p>
    <w:p w14:paraId="170326D1" w14:textId="77777777" w:rsidR="004223B5" w:rsidRPr="004223B5" w:rsidRDefault="004223B5" w:rsidP="004223B5">
      <w:pPr>
        <w:widowControl w:val="0"/>
        <w:autoSpaceDE w:val="0"/>
        <w:autoSpaceDN w:val="0"/>
        <w:spacing w:before="240" w:after="240"/>
        <w:outlineLvl w:val="0"/>
        <w:rPr>
          <w:rFonts w:ascii="Arial" w:eastAsia="Arial" w:hAnsi="Arial" w:cs="Arial"/>
          <w:b/>
          <w:bCs/>
          <w:sz w:val="32"/>
          <w:szCs w:val="32"/>
          <w:lang w:val="en-US"/>
        </w:rPr>
      </w:pPr>
      <w:r w:rsidRPr="004223B5">
        <w:rPr>
          <w:rFonts w:ascii="Arial" w:eastAsia="Arial" w:hAnsi="Arial" w:cs="Arial"/>
          <w:b/>
          <w:bCs/>
          <w:sz w:val="32"/>
          <w:szCs w:val="32"/>
          <w:lang w:val="en-US"/>
        </w:rPr>
        <w:t>Sources</w:t>
      </w:r>
    </w:p>
    <w:p w14:paraId="6EF4E276"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b/>
          <w:bCs/>
          <w:sz w:val="22"/>
          <w:szCs w:val="22"/>
          <w:lang w:val="en-US"/>
        </w:rPr>
      </w:pPr>
      <w:r w:rsidRPr="004223B5">
        <w:rPr>
          <w:rFonts w:ascii="Arial" w:eastAsia="Arial" w:hAnsi="Arial" w:cs="Arial"/>
          <w:b/>
          <w:bCs/>
          <w:sz w:val="22"/>
          <w:szCs w:val="22"/>
          <w:lang w:val="en-US"/>
        </w:rPr>
        <w:t>Primary Sources</w:t>
      </w:r>
    </w:p>
    <w:p w14:paraId="43A0AE18"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r w:rsidRPr="004223B5">
        <w:rPr>
          <w:rFonts w:ascii="Arial" w:eastAsia="Arial" w:hAnsi="Arial" w:cs="Arial"/>
          <w:sz w:val="22"/>
          <w:szCs w:val="22"/>
          <w:lang w:val="en-GB"/>
        </w:rPr>
        <w:t>United Nations Charter</w:t>
      </w:r>
    </w:p>
    <w:p w14:paraId="0643B7D9"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r w:rsidRPr="004223B5">
        <w:rPr>
          <w:rFonts w:ascii="Arial" w:eastAsia="Arial" w:hAnsi="Arial" w:cs="Arial"/>
          <w:sz w:val="22"/>
          <w:szCs w:val="22"/>
          <w:lang w:val="en-GB"/>
        </w:rPr>
        <w:t>Covenant of the Legue of Nations</w:t>
      </w:r>
    </w:p>
    <w:p w14:paraId="6EF0AD3C"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r w:rsidRPr="004223B5">
        <w:rPr>
          <w:rFonts w:ascii="Arial" w:eastAsia="Arial" w:hAnsi="Arial" w:cs="Arial"/>
          <w:sz w:val="22"/>
          <w:szCs w:val="22"/>
          <w:lang w:val="en-GB"/>
        </w:rPr>
        <w:lastRenderedPageBreak/>
        <w:t>Statues of the UN specialised agencies</w:t>
      </w:r>
    </w:p>
    <w:p w14:paraId="2232D9D9"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p>
    <w:p w14:paraId="13DC27D6"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b/>
          <w:sz w:val="22"/>
          <w:szCs w:val="22"/>
          <w:lang w:val="en-GB"/>
        </w:rPr>
      </w:pPr>
      <w:r w:rsidRPr="004223B5">
        <w:rPr>
          <w:rFonts w:ascii="Arial" w:eastAsia="Arial" w:hAnsi="Arial" w:cs="Arial"/>
          <w:b/>
          <w:sz w:val="22"/>
          <w:szCs w:val="22"/>
          <w:lang w:val="en-GB"/>
        </w:rPr>
        <w:t>Essential Readings</w:t>
      </w:r>
    </w:p>
    <w:p w14:paraId="7FF0F396"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r w:rsidRPr="004223B5">
        <w:rPr>
          <w:rFonts w:ascii="Arial" w:eastAsia="Arial" w:hAnsi="Arial" w:cs="Arial"/>
          <w:sz w:val="22"/>
          <w:szCs w:val="22"/>
          <w:lang w:val="en-GB"/>
        </w:rPr>
        <w:t xml:space="preserve">Barnett M. N. (ed) </w:t>
      </w:r>
      <w:r w:rsidRPr="004223B5">
        <w:rPr>
          <w:rFonts w:ascii="Arial" w:eastAsia="Arial" w:hAnsi="Arial" w:cs="Arial"/>
          <w:i/>
          <w:iCs/>
          <w:sz w:val="22"/>
          <w:szCs w:val="22"/>
          <w:lang w:val="en-GB"/>
        </w:rPr>
        <w:t>Global Governance in a World of Change</w:t>
      </w:r>
      <w:r w:rsidRPr="004223B5">
        <w:rPr>
          <w:rFonts w:ascii="Arial" w:eastAsia="Arial" w:hAnsi="Arial" w:cs="Arial"/>
          <w:sz w:val="22"/>
          <w:szCs w:val="22"/>
          <w:lang w:val="en-GB"/>
        </w:rPr>
        <w:t>, Cambridge Univ. Press 2021</w:t>
      </w:r>
    </w:p>
    <w:p w14:paraId="59BDC032"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r w:rsidRPr="004223B5">
        <w:rPr>
          <w:rFonts w:ascii="Arial" w:eastAsia="Arial" w:hAnsi="Arial" w:cs="Arial"/>
          <w:sz w:val="22"/>
          <w:szCs w:val="22"/>
          <w:lang w:val="en-GB"/>
        </w:rPr>
        <w:t xml:space="preserve">Karns, M.P., </w:t>
      </w:r>
      <w:proofErr w:type="spellStart"/>
      <w:r w:rsidRPr="004223B5">
        <w:rPr>
          <w:rFonts w:ascii="Arial" w:eastAsia="Arial" w:hAnsi="Arial" w:cs="Arial"/>
          <w:sz w:val="22"/>
          <w:szCs w:val="22"/>
          <w:lang w:val="en-GB"/>
        </w:rPr>
        <w:t>Mingst</w:t>
      </w:r>
      <w:proofErr w:type="spellEnd"/>
      <w:r w:rsidRPr="004223B5">
        <w:rPr>
          <w:rFonts w:ascii="Arial" w:eastAsia="Arial" w:hAnsi="Arial" w:cs="Arial"/>
          <w:sz w:val="22"/>
          <w:szCs w:val="22"/>
          <w:lang w:val="en-GB"/>
        </w:rPr>
        <w:t xml:space="preserve">, </w:t>
      </w:r>
      <w:proofErr w:type="spellStart"/>
      <w:r w:rsidRPr="004223B5">
        <w:rPr>
          <w:rFonts w:ascii="Arial" w:eastAsia="Arial" w:hAnsi="Arial" w:cs="Arial"/>
          <w:sz w:val="22"/>
          <w:szCs w:val="22"/>
          <w:lang w:val="en-GB"/>
        </w:rPr>
        <w:t>K.</w:t>
      </w:r>
      <w:proofErr w:type="gramStart"/>
      <w:r w:rsidRPr="004223B5">
        <w:rPr>
          <w:rFonts w:ascii="Arial" w:eastAsia="Arial" w:hAnsi="Arial" w:cs="Arial"/>
          <w:sz w:val="22"/>
          <w:szCs w:val="22"/>
          <w:lang w:val="en-GB"/>
        </w:rPr>
        <w:t>A.Kandall</w:t>
      </w:r>
      <w:proofErr w:type="spellEnd"/>
      <w:proofErr w:type="gramEnd"/>
      <w:r w:rsidRPr="004223B5">
        <w:rPr>
          <w:rFonts w:ascii="Arial" w:eastAsia="Arial" w:hAnsi="Arial" w:cs="Arial"/>
          <w:sz w:val="22"/>
          <w:szCs w:val="22"/>
          <w:lang w:val="en-GB"/>
        </w:rPr>
        <w:t xml:space="preserve"> W. Stiles, </w:t>
      </w:r>
      <w:r w:rsidRPr="004223B5">
        <w:rPr>
          <w:rFonts w:ascii="Arial" w:eastAsia="Arial" w:hAnsi="Arial" w:cs="Arial"/>
          <w:i/>
          <w:iCs/>
          <w:sz w:val="22"/>
          <w:szCs w:val="22"/>
          <w:lang w:val="en-GB"/>
        </w:rPr>
        <w:t>International organizations. The Politics and process of global governance</w:t>
      </w:r>
      <w:r w:rsidRPr="004223B5">
        <w:rPr>
          <w:rFonts w:ascii="Arial" w:eastAsia="Arial" w:hAnsi="Arial" w:cs="Arial"/>
          <w:sz w:val="22"/>
          <w:szCs w:val="22"/>
          <w:lang w:val="en-GB"/>
        </w:rPr>
        <w:t xml:space="preserve">, Lynne </w:t>
      </w:r>
      <w:proofErr w:type="spellStart"/>
      <w:r w:rsidRPr="004223B5">
        <w:rPr>
          <w:rFonts w:ascii="Arial" w:eastAsia="Arial" w:hAnsi="Arial" w:cs="Arial"/>
          <w:sz w:val="22"/>
          <w:szCs w:val="22"/>
          <w:lang w:val="en-GB"/>
        </w:rPr>
        <w:t>Rienner</w:t>
      </w:r>
      <w:proofErr w:type="spellEnd"/>
      <w:r w:rsidRPr="004223B5">
        <w:rPr>
          <w:rFonts w:ascii="Arial" w:eastAsia="Arial" w:hAnsi="Arial" w:cs="Arial"/>
          <w:sz w:val="22"/>
          <w:szCs w:val="22"/>
          <w:lang w:val="en-GB"/>
        </w:rPr>
        <w:t xml:space="preserve">, Boulder 2015 </w:t>
      </w:r>
    </w:p>
    <w:p w14:paraId="5F831DFF"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proofErr w:type="spellStart"/>
      <w:r w:rsidRPr="004223B5">
        <w:rPr>
          <w:rFonts w:ascii="Arial" w:eastAsia="Arial" w:hAnsi="Arial" w:cs="Arial"/>
          <w:sz w:val="22"/>
          <w:szCs w:val="22"/>
          <w:lang w:val="en-GB"/>
        </w:rPr>
        <w:t>Rittberger</w:t>
      </w:r>
      <w:proofErr w:type="spellEnd"/>
      <w:r w:rsidRPr="004223B5">
        <w:rPr>
          <w:rFonts w:ascii="Arial" w:eastAsia="Arial" w:hAnsi="Arial" w:cs="Arial"/>
          <w:sz w:val="22"/>
          <w:szCs w:val="22"/>
          <w:lang w:val="en-GB"/>
        </w:rPr>
        <w:t xml:space="preserve">, V., Zangl B., Kruck, A., </w:t>
      </w:r>
      <w:r w:rsidRPr="004223B5">
        <w:rPr>
          <w:rFonts w:ascii="Arial" w:eastAsia="Arial" w:hAnsi="Arial" w:cs="Arial"/>
          <w:i/>
          <w:iCs/>
          <w:sz w:val="22"/>
          <w:szCs w:val="22"/>
          <w:lang w:val="en-GB"/>
        </w:rPr>
        <w:t>International Organization</w:t>
      </w:r>
      <w:r w:rsidRPr="004223B5">
        <w:rPr>
          <w:rFonts w:ascii="Arial" w:eastAsia="Arial" w:hAnsi="Arial" w:cs="Arial"/>
          <w:sz w:val="22"/>
          <w:szCs w:val="22"/>
          <w:lang w:val="en-GB"/>
        </w:rPr>
        <w:t>, 2nd edition, Palgrave Macmillan 2012.or 3</w:t>
      </w:r>
      <w:r w:rsidRPr="004223B5">
        <w:rPr>
          <w:rFonts w:ascii="Arial" w:eastAsia="Arial" w:hAnsi="Arial" w:cs="Arial"/>
          <w:sz w:val="22"/>
          <w:szCs w:val="22"/>
          <w:vertAlign w:val="superscript"/>
          <w:lang w:val="en-GB"/>
        </w:rPr>
        <w:t>rd</w:t>
      </w:r>
      <w:r w:rsidRPr="004223B5">
        <w:rPr>
          <w:rFonts w:ascii="Arial" w:eastAsia="Arial" w:hAnsi="Arial" w:cs="Arial"/>
          <w:sz w:val="22"/>
          <w:szCs w:val="22"/>
          <w:lang w:val="en-GB"/>
        </w:rPr>
        <w:t xml:space="preserve"> edition 2019</w:t>
      </w:r>
    </w:p>
    <w:p w14:paraId="4422A5B0"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p>
    <w:p w14:paraId="003B39EB"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b/>
          <w:bCs/>
          <w:sz w:val="22"/>
          <w:szCs w:val="22"/>
          <w:lang w:val="en-GB"/>
        </w:rPr>
      </w:pPr>
      <w:r w:rsidRPr="004223B5">
        <w:rPr>
          <w:rFonts w:ascii="Arial" w:eastAsia="Arial" w:hAnsi="Arial" w:cs="Arial"/>
          <w:b/>
          <w:bCs/>
          <w:sz w:val="22"/>
          <w:szCs w:val="22"/>
          <w:lang w:val="en-GB"/>
        </w:rPr>
        <w:t xml:space="preserve">Recommended readings </w:t>
      </w:r>
    </w:p>
    <w:p w14:paraId="7B298BD6"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p>
    <w:p w14:paraId="03E69C0A"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proofErr w:type="spellStart"/>
      <w:r w:rsidRPr="004223B5">
        <w:rPr>
          <w:rFonts w:ascii="Arial" w:eastAsia="Arial" w:hAnsi="Arial" w:cs="Arial"/>
          <w:sz w:val="22"/>
          <w:szCs w:val="22"/>
          <w:lang w:val="en-GB"/>
        </w:rPr>
        <w:t>Dielic</w:t>
      </w:r>
      <w:proofErr w:type="spellEnd"/>
      <w:r w:rsidRPr="004223B5">
        <w:rPr>
          <w:rFonts w:ascii="Arial" w:eastAsia="Arial" w:hAnsi="Arial" w:cs="Arial"/>
          <w:sz w:val="22"/>
          <w:szCs w:val="22"/>
          <w:lang w:val="en-GB"/>
        </w:rPr>
        <w:t xml:space="preserve">, M.-L., </w:t>
      </w:r>
      <w:r w:rsidRPr="004223B5">
        <w:rPr>
          <w:rFonts w:ascii="Arial" w:eastAsia="Arial" w:hAnsi="Arial" w:cs="Arial"/>
          <w:i/>
          <w:iCs/>
          <w:sz w:val="22"/>
          <w:szCs w:val="22"/>
          <w:lang w:val="en-GB"/>
        </w:rPr>
        <w:t>Transnational governance. Institutional dynamics of regulation</w:t>
      </w:r>
      <w:r w:rsidRPr="004223B5">
        <w:rPr>
          <w:rFonts w:ascii="Arial" w:eastAsia="Arial" w:hAnsi="Arial" w:cs="Arial"/>
          <w:sz w:val="22"/>
          <w:szCs w:val="22"/>
          <w:lang w:val="en-GB"/>
        </w:rPr>
        <w:t xml:space="preserve">, Cambridge University Press 2008. </w:t>
      </w:r>
    </w:p>
    <w:p w14:paraId="40FCE0C2"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r w:rsidRPr="004223B5">
        <w:rPr>
          <w:rFonts w:ascii="Arial" w:eastAsia="Arial" w:hAnsi="Arial" w:cs="Arial"/>
          <w:sz w:val="22"/>
          <w:szCs w:val="22"/>
          <w:lang w:val="en-GB"/>
        </w:rPr>
        <w:t>Grigoryev L., Pabst A (eds.), Global Governance in Transformation: Challenges for International Cooperation, Axel Springer 2020 </w:t>
      </w:r>
    </w:p>
    <w:p w14:paraId="40474400"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r w:rsidRPr="004223B5">
        <w:rPr>
          <w:rFonts w:ascii="Arial" w:eastAsia="Arial" w:hAnsi="Arial" w:cs="Arial"/>
          <w:sz w:val="22"/>
          <w:szCs w:val="22"/>
          <w:lang w:val="en-GB"/>
        </w:rPr>
        <w:t xml:space="preserve">Linden, R.H., </w:t>
      </w:r>
      <w:r w:rsidRPr="004223B5">
        <w:rPr>
          <w:rFonts w:ascii="Arial" w:eastAsia="Arial" w:hAnsi="Arial" w:cs="Arial"/>
          <w:i/>
          <w:iCs/>
          <w:sz w:val="22"/>
          <w:szCs w:val="22"/>
          <w:lang w:val="en-GB"/>
        </w:rPr>
        <w:t>Norms and nannies. The impact of international organizations on the Central and East European states</w:t>
      </w:r>
      <w:r w:rsidRPr="004223B5">
        <w:rPr>
          <w:rFonts w:ascii="Arial" w:eastAsia="Arial" w:hAnsi="Arial" w:cs="Arial"/>
          <w:sz w:val="22"/>
          <w:szCs w:val="22"/>
          <w:lang w:val="en-GB"/>
        </w:rPr>
        <w:t xml:space="preserve">, Rowman &amp; Littlefield 2004. </w:t>
      </w:r>
    </w:p>
    <w:p w14:paraId="09087F75"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r w:rsidRPr="004223B5">
        <w:rPr>
          <w:rFonts w:ascii="Arial" w:eastAsia="Arial" w:hAnsi="Arial" w:cs="Arial"/>
          <w:sz w:val="22"/>
          <w:szCs w:val="22"/>
          <w:lang w:val="en-GB"/>
        </w:rPr>
        <w:t xml:space="preserve">Nowicka, M., </w:t>
      </w:r>
      <w:r w:rsidRPr="004223B5">
        <w:rPr>
          <w:rFonts w:ascii="Arial" w:eastAsia="Arial" w:hAnsi="Arial" w:cs="Arial"/>
          <w:i/>
          <w:iCs/>
          <w:sz w:val="22"/>
          <w:szCs w:val="22"/>
          <w:lang w:val="en-GB"/>
        </w:rPr>
        <w:t>Transnational professionals and their cosmopolitan universes</w:t>
      </w:r>
      <w:r w:rsidRPr="004223B5">
        <w:rPr>
          <w:rFonts w:ascii="Arial" w:eastAsia="Arial" w:hAnsi="Arial" w:cs="Arial"/>
          <w:sz w:val="22"/>
          <w:szCs w:val="22"/>
          <w:lang w:val="en-GB"/>
        </w:rPr>
        <w:t xml:space="preserve">, Campus 2006 </w:t>
      </w:r>
    </w:p>
    <w:p w14:paraId="260E5B9C"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GB"/>
        </w:rPr>
      </w:pPr>
      <w:r w:rsidRPr="004223B5">
        <w:rPr>
          <w:rFonts w:ascii="Arial" w:eastAsia="Arial" w:hAnsi="Arial" w:cs="Arial"/>
          <w:sz w:val="22"/>
          <w:szCs w:val="22"/>
          <w:lang w:val="en-GB"/>
        </w:rPr>
        <w:t xml:space="preserve">Reinalda, B., </w:t>
      </w:r>
      <w:r w:rsidRPr="004223B5">
        <w:rPr>
          <w:rFonts w:ascii="Arial" w:eastAsia="Arial" w:hAnsi="Arial" w:cs="Arial"/>
          <w:i/>
          <w:iCs/>
          <w:sz w:val="22"/>
          <w:szCs w:val="22"/>
          <w:lang w:val="en-GB"/>
        </w:rPr>
        <w:t>History of international organizations: from 1815 to the present day</w:t>
      </w:r>
      <w:r w:rsidRPr="004223B5">
        <w:rPr>
          <w:rFonts w:ascii="Arial" w:eastAsia="Arial" w:hAnsi="Arial" w:cs="Arial"/>
          <w:sz w:val="22"/>
          <w:szCs w:val="22"/>
          <w:lang w:val="en-GB"/>
        </w:rPr>
        <w:t>, Routledge 2009.</w:t>
      </w:r>
    </w:p>
    <w:p w14:paraId="0FDD3AAE" w14:textId="77777777" w:rsidR="004223B5" w:rsidRPr="004223B5" w:rsidRDefault="004223B5" w:rsidP="004223B5">
      <w:pPr>
        <w:widowControl w:val="0"/>
        <w:autoSpaceDE w:val="0"/>
        <w:autoSpaceDN w:val="0"/>
        <w:spacing w:after="120"/>
        <w:ind w:left="454" w:hanging="454"/>
        <w:contextualSpacing/>
        <w:jc w:val="both"/>
        <w:rPr>
          <w:rFonts w:ascii="Arial" w:eastAsia="Arial" w:hAnsi="Arial" w:cs="Arial"/>
          <w:sz w:val="22"/>
          <w:szCs w:val="22"/>
          <w:lang w:val="en-US"/>
        </w:rPr>
      </w:pPr>
    </w:p>
    <w:p w14:paraId="643E5939" w14:textId="77777777" w:rsidR="00BC319D" w:rsidRPr="004223B5" w:rsidRDefault="00BC319D">
      <w:pPr>
        <w:rPr>
          <w:lang w:val="en-US"/>
        </w:rPr>
      </w:pPr>
    </w:p>
    <w:sectPr w:rsidR="00BC319D" w:rsidRPr="004223B5" w:rsidSect="004223B5">
      <w:pgSz w:w="1190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A5D0" w14:textId="77777777" w:rsidR="007E1918" w:rsidRDefault="007E1918" w:rsidP="004223B5">
      <w:r>
        <w:separator/>
      </w:r>
    </w:p>
  </w:endnote>
  <w:endnote w:type="continuationSeparator" w:id="0">
    <w:p w14:paraId="37E7143A" w14:textId="77777777" w:rsidR="007E1918" w:rsidRDefault="007E1918" w:rsidP="0042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8A3F" w14:textId="77777777" w:rsidR="007E1918" w:rsidRDefault="007E1918" w:rsidP="004223B5">
      <w:r>
        <w:separator/>
      </w:r>
    </w:p>
  </w:footnote>
  <w:footnote w:type="continuationSeparator" w:id="0">
    <w:p w14:paraId="13011AD3" w14:textId="77777777" w:rsidR="007E1918" w:rsidRDefault="007E1918" w:rsidP="00422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964B1"/>
    <w:multiLevelType w:val="hybridMultilevel"/>
    <w:tmpl w:val="1AFC87C2"/>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D377A31"/>
    <w:multiLevelType w:val="hybridMultilevel"/>
    <w:tmpl w:val="E6F87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9621B"/>
    <w:multiLevelType w:val="hybridMultilevel"/>
    <w:tmpl w:val="F5B22E12"/>
    <w:lvl w:ilvl="0" w:tplc="08090005">
      <w:start w:val="1"/>
      <w:numFmt w:val="bullet"/>
      <w:lvlText w:val=""/>
      <w:lvlJc w:val="left"/>
      <w:pPr>
        <w:ind w:left="720" w:hanging="360"/>
      </w:pPr>
      <w:rPr>
        <w:rFonts w:ascii="Wingdings" w:hAnsi="Wingdings" w:hint="default"/>
        <w:b w:val="0"/>
        <w:bCs w:val="0"/>
        <w:i w:val="0"/>
        <w:iCs w:val="0"/>
        <w:w w:val="100"/>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3921F90"/>
    <w:multiLevelType w:val="multilevel"/>
    <w:tmpl w:val="42342F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35471203">
    <w:abstractNumId w:val="1"/>
  </w:num>
  <w:num w:numId="2" w16cid:durableId="1003968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4866925">
    <w:abstractNumId w:val="2"/>
  </w:num>
  <w:num w:numId="4" w16cid:durableId="60931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B5"/>
    <w:rsid w:val="002F545A"/>
    <w:rsid w:val="004223B5"/>
    <w:rsid w:val="00605D61"/>
    <w:rsid w:val="007E1918"/>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2BB6F41C"/>
  <w15:chartTrackingRefBased/>
  <w15:docId w15:val="{72FE0400-904E-0645-AC55-7E932025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3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3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3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3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3B5"/>
    <w:rPr>
      <w:rFonts w:eastAsiaTheme="majorEastAsia" w:cstheme="majorBidi"/>
      <w:color w:val="272727" w:themeColor="text1" w:themeTint="D8"/>
    </w:rPr>
  </w:style>
  <w:style w:type="paragraph" w:styleId="Title">
    <w:name w:val="Title"/>
    <w:basedOn w:val="Normal"/>
    <w:next w:val="Normal"/>
    <w:link w:val="TitleChar"/>
    <w:uiPriority w:val="10"/>
    <w:qFormat/>
    <w:rsid w:val="004223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3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3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3B5"/>
    <w:rPr>
      <w:i/>
      <w:iCs/>
      <w:color w:val="404040" w:themeColor="text1" w:themeTint="BF"/>
    </w:rPr>
  </w:style>
  <w:style w:type="paragraph" w:styleId="ListParagraph">
    <w:name w:val="List Paragraph"/>
    <w:basedOn w:val="Normal"/>
    <w:uiPriority w:val="34"/>
    <w:qFormat/>
    <w:rsid w:val="004223B5"/>
    <w:pPr>
      <w:ind w:left="720"/>
      <w:contextualSpacing/>
    </w:pPr>
  </w:style>
  <w:style w:type="character" w:styleId="IntenseEmphasis">
    <w:name w:val="Intense Emphasis"/>
    <w:basedOn w:val="DefaultParagraphFont"/>
    <w:uiPriority w:val="21"/>
    <w:qFormat/>
    <w:rsid w:val="004223B5"/>
    <w:rPr>
      <w:i/>
      <w:iCs/>
      <w:color w:val="0F4761" w:themeColor="accent1" w:themeShade="BF"/>
    </w:rPr>
  </w:style>
  <w:style w:type="paragraph" w:styleId="IntenseQuote">
    <w:name w:val="Intense Quote"/>
    <w:basedOn w:val="Normal"/>
    <w:next w:val="Normal"/>
    <w:link w:val="IntenseQuoteChar"/>
    <w:uiPriority w:val="30"/>
    <w:qFormat/>
    <w:rsid w:val="00422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3B5"/>
    <w:rPr>
      <w:i/>
      <w:iCs/>
      <w:color w:val="0F4761" w:themeColor="accent1" w:themeShade="BF"/>
    </w:rPr>
  </w:style>
  <w:style w:type="character" w:styleId="IntenseReference">
    <w:name w:val="Intense Reference"/>
    <w:basedOn w:val="DefaultParagraphFont"/>
    <w:uiPriority w:val="32"/>
    <w:qFormat/>
    <w:rsid w:val="004223B5"/>
    <w:rPr>
      <w:b/>
      <w:bCs/>
      <w:smallCaps/>
      <w:color w:val="0F4761" w:themeColor="accent1" w:themeShade="BF"/>
      <w:spacing w:val="5"/>
    </w:rPr>
  </w:style>
  <w:style w:type="paragraph" w:styleId="Header">
    <w:name w:val="header"/>
    <w:basedOn w:val="Normal"/>
    <w:link w:val="HeaderChar"/>
    <w:uiPriority w:val="99"/>
    <w:unhideWhenUsed/>
    <w:rsid w:val="004223B5"/>
    <w:pPr>
      <w:tabs>
        <w:tab w:val="center" w:pos="4513"/>
        <w:tab w:val="right" w:pos="9026"/>
      </w:tabs>
    </w:pPr>
  </w:style>
  <w:style w:type="character" w:customStyle="1" w:styleId="HeaderChar">
    <w:name w:val="Header Char"/>
    <w:basedOn w:val="DefaultParagraphFont"/>
    <w:link w:val="Header"/>
    <w:uiPriority w:val="99"/>
    <w:rsid w:val="004223B5"/>
  </w:style>
  <w:style w:type="table" w:customStyle="1" w:styleId="TableGridLight1">
    <w:name w:val="Table Grid Light1"/>
    <w:basedOn w:val="TableNormal"/>
    <w:next w:val="TableGridLight"/>
    <w:uiPriority w:val="40"/>
    <w:rsid w:val="004223B5"/>
    <w:pPr>
      <w:widowControl w:val="0"/>
      <w:autoSpaceDE w:val="0"/>
      <w:autoSpaceDN w:val="0"/>
    </w:pPr>
    <w:rPr>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4223B5"/>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Light">
    <w:name w:val="Grid Table Light"/>
    <w:basedOn w:val="TableNormal"/>
    <w:uiPriority w:val="40"/>
    <w:rsid w:val="004223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223B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4223B5"/>
    <w:pPr>
      <w:tabs>
        <w:tab w:val="center" w:pos="4513"/>
        <w:tab w:val="right" w:pos="9026"/>
      </w:tabs>
    </w:pPr>
  </w:style>
  <w:style w:type="character" w:customStyle="1" w:styleId="FooterChar">
    <w:name w:val="Footer Char"/>
    <w:basedOn w:val="DefaultParagraphFont"/>
    <w:link w:val="Footer"/>
    <w:uiPriority w:val="99"/>
    <w:rsid w:val="0042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1424</Words>
  <Characters>8119</Characters>
  <Application>Microsoft Office Word</Application>
  <DocSecurity>0</DocSecurity>
  <Lines>67</Lines>
  <Paragraphs>19</Paragraphs>
  <ScaleCrop>false</ScaleCrop>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2025-08-22T13:28:00Z</dcterms:created>
  <dcterms:modified xsi:type="dcterms:W3CDTF">2025-08-22T13:29:00Z</dcterms:modified>
</cp:coreProperties>
</file>