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0709" w14:textId="77777777" w:rsidR="00AF3AFC" w:rsidRPr="00B12AD7" w:rsidRDefault="00AF3AFC" w:rsidP="00AF3AFC">
      <w:pPr>
        <w:pStyle w:val="Heading2"/>
        <w:spacing w:line="276" w:lineRule="auto"/>
        <w:jc w:val="both"/>
        <w:rPr>
          <w:rFonts w:ascii="DINCE-Regular" w:hAnsi="DINCE-Regular"/>
          <w:color w:val="404040" w:themeColor="text1" w:themeTint="BF"/>
          <w:kern w:val="36"/>
          <w:lang w:val="en-GB"/>
        </w:rPr>
      </w:pPr>
      <w:bookmarkStart w:id="0" w:name="_Toc453841471"/>
      <w:bookmarkStart w:id="1" w:name="_Toc466634999"/>
      <w:bookmarkStart w:id="2" w:name="_Toc477731757"/>
      <w:bookmarkStart w:id="3" w:name="_Toc487111794"/>
      <w:bookmarkStart w:id="4" w:name="_Toc526324552"/>
      <w:bookmarkStart w:id="5" w:name="_Toc179189733"/>
      <w:r w:rsidRPr="00B12AD7">
        <w:rPr>
          <w:rFonts w:ascii="DINCE-Regular" w:hAnsi="DINCE-Regular"/>
          <w:color w:val="404040" w:themeColor="text1" w:themeTint="BF"/>
          <w:kern w:val="36"/>
          <w:lang w:val="en-GB"/>
        </w:rPr>
        <w:t>ETHNIC CLEANSING AND DISPLACEMENT IN THE MODERN WORLD</w:t>
      </w:r>
      <w:bookmarkEnd w:id="0"/>
      <w:bookmarkEnd w:id="1"/>
      <w:bookmarkEnd w:id="2"/>
      <w:bookmarkEnd w:id="3"/>
      <w:bookmarkEnd w:id="4"/>
      <w:bookmarkEnd w:id="5"/>
    </w:p>
    <w:p w14:paraId="766CBE08" w14:textId="77777777" w:rsidR="00AF3AFC" w:rsidRPr="00B12AD7" w:rsidRDefault="00AF3AFC" w:rsidP="00AF3AFC">
      <w:pPr>
        <w:pStyle w:val="Heading3"/>
        <w:spacing w:line="276" w:lineRule="auto"/>
        <w:jc w:val="both"/>
        <w:rPr>
          <w:rFonts w:ascii="DINCE-Regular" w:hAnsi="DINCE-Regular" w:cs="Times New Roman"/>
          <w:b/>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1. MODULE SUMMARY</w:t>
      </w:r>
    </w:p>
    <w:p w14:paraId="44C329F9"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0E2E130C" w14:textId="4A8CB57E" w:rsidR="00AF3AFC" w:rsidRPr="00B12AD7" w:rsidRDefault="00AF3AFC" w:rsidP="00AF3AFC">
      <w:pPr>
        <w:pStyle w:val="1"/>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This module focuses on major incidents and theories surrounding displacement and ethnic cleansing in the Twentieth Century.  It will deal with major incidents of ethnic cleansing and displacement such as the Armenian genocide, the Treaty of Lausanne between Turkey and Greece and displacement in the Second World War and its aftermath.  In addition, it will look at theories surrounding displacement and ethnic cleansing and focus on organisations dealing with the displaced.  In the process it will analyse in a transnational and comparative perspective the pressures which lead groups to carry out ethnic cleansing, what the experience of ethnic cleansing was like for those who experienced it and what displacement and ethnic cleansing tells us about the nature of the modern state.</w:t>
      </w:r>
      <w:r>
        <w:rPr>
          <w:rFonts w:ascii="DINCE-Regular" w:hAnsi="DINCE-Regular" w:cs="Times New Roman"/>
          <w:color w:val="404040" w:themeColor="text1" w:themeTint="BF"/>
          <w:sz w:val="22"/>
          <w:szCs w:val="22"/>
          <w:lang w:val="en-GB"/>
        </w:rPr>
        <w:t xml:space="preserve"> </w:t>
      </w:r>
    </w:p>
    <w:p w14:paraId="189D61D1" w14:textId="77777777" w:rsidR="00AF3AFC" w:rsidRPr="00B12AD7" w:rsidRDefault="00AF3AFC" w:rsidP="00AF3AFC">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AF3AFC" w:rsidRPr="00B12AD7" w14:paraId="357FA8CC" w14:textId="77777777" w:rsidTr="00FE71EB">
        <w:trPr>
          <w:trHeight w:val="432"/>
          <w:tblCellSpacing w:w="15" w:type="dxa"/>
        </w:trPr>
        <w:tc>
          <w:tcPr>
            <w:tcW w:w="0" w:type="auto"/>
            <w:tcMar>
              <w:top w:w="15" w:type="dxa"/>
              <w:left w:w="480" w:type="dxa"/>
              <w:bottom w:w="15" w:type="dxa"/>
              <w:right w:w="240" w:type="dxa"/>
            </w:tcMar>
            <w:vAlign w:val="center"/>
          </w:tcPr>
          <w:p w14:paraId="26DCFFB0"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ECTS credits</w:t>
            </w:r>
          </w:p>
        </w:tc>
        <w:tc>
          <w:tcPr>
            <w:tcW w:w="0" w:type="auto"/>
            <w:vAlign w:val="center"/>
          </w:tcPr>
          <w:p w14:paraId="0749CE65"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5.0</w:t>
            </w:r>
          </w:p>
        </w:tc>
      </w:tr>
      <w:tr w:rsidR="00AF3AFC" w:rsidRPr="00B12AD7" w14:paraId="77341750" w14:textId="77777777" w:rsidTr="00FE71EB">
        <w:trPr>
          <w:trHeight w:val="432"/>
          <w:tblCellSpacing w:w="15" w:type="dxa"/>
        </w:trPr>
        <w:tc>
          <w:tcPr>
            <w:tcW w:w="0" w:type="auto"/>
            <w:tcMar>
              <w:top w:w="15" w:type="dxa"/>
              <w:left w:w="480" w:type="dxa"/>
              <w:bottom w:w="15" w:type="dxa"/>
              <w:right w:w="240" w:type="dxa"/>
            </w:tcMar>
            <w:vAlign w:val="center"/>
          </w:tcPr>
          <w:p w14:paraId="7D7B651C"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01E2DC8F"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w:t>
            </w:r>
          </w:p>
        </w:tc>
      </w:tr>
      <w:tr w:rsidR="00AF3AFC" w:rsidRPr="00B12AD7" w14:paraId="384E99EC" w14:textId="77777777" w:rsidTr="00FE71EB">
        <w:trPr>
          <w:trHeight w:val="432"/>
          <w:tblCellSpacing w:w="15" w:type="dxa"/>
        </w:trPr>
        <w:tc>
          <w:tcPr>
            <w:tcW w:w="0" w:type="auto"/>
            <w:tcMar>
              <w:top w:w="15" w:type="dxa"/>
              <w:left w:w="480" w:type="dxa"/>
              <w:bottom w:w="15" w:type="dxa"/>
              <w:right w:w="240" w:type="dxa"/>
            </w:tcMar>
            <w:vAlign w:val="center"/>
          </w:tcPr>
          <w:p w14:paraId="246F4F34"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5D3E40F3"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AF3AFC" w:rsidRPr="00B12AD7" w14:paraId="53666B31" w14:textId="77777777" w:rsidTr="00FE71EB">
        <w:trPr>
          <w:trHeight w:val="432"/>
          <w:tblCellSpacing w:w="15" w:type="dxa"/>
        </w:trPr>
        <w:tc>
          <w:tcPr>
            <w:tcW w:w="0" w:type="auto"/>
            <w:tcMar>
              <w:top w:w="15" w:type="dxa"/>
              <w:left w:w="480" w:type="dxa"/>
              <w:bottom w:w="15" w:type="dxa"/>
              <w:right w:w="240" w:type="dxa"/>
            </w:tcMar>
            <w:vAlign w:val="center"/>
          </w:tcPr>
          <w:p w14:paraId="3A73BEF0"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0570CC9E"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62F7D67D"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58EC6289"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7F8CF589"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5DB48BD1"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264C549"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Composition of module mark (including weighting of components)</w:t>
      </w:r>
    </w:p>
    <w:p w14:paraId="1EF18519"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Coursework 60%, composed of essay</w:t>
      </w:r>
    </w:p>
    <w:p w14:paraId="328BC20F"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36A09935"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4A226556" w14:textId="77777777" w:rsidR="00AF3AFC" w:rsidRPr="00B12AD7" w:rsidRDefault="00AF3AFC" w:rsidP="00AF3AFC">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24968157"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Special Features</w:t>
      </w:r>
    </w:p>
    <w:p w14:paraId="3CECAC11"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5E91CA43"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1A094E20" w14:textId="77777777" w:rsidR="00AF3AFC" w:rsidRPr="00B12AD7" w:rsidRDefault="00AF3AFC" w:rsidP="00AF3AFC">
      <w:pPr>
        <w:shd w:val="clear" w:color="auto" w:fill="FFFFFF"/>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7206D6AC"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0B667568"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4B2C010" w14:textId="77777777" w:rsidR="00AF3AFC" w:rsidRPr="00B12AD7" w:rsidRDefault="00AF3AFC" w:rsidP="00AF3AFC">
      <w:pPr>
        <w:pStyle w:val="Heading3"/>
        <w:spacing w:line="276" w:lineRule="auto"/>
        <w:jc w:val="both"/>
        <w:rPr>
          <w:rFonts w:ascii="DINCE-Regular" w:hAnsi="DINCE-Regular" w:cs="Times New Roman"/>
          <w:b/>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lastRenderedPageBreak/>
        <w:t>2. TEACHING, LEARNING AND ASSESSMENT</w:t>
      </w:r>
    </w:p>
    <w:p w14:paraId="087F293E"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115DD391" w14:textId="77777777" w:rsidR="00AF3AFC" w:rsidRPr="00B12AD7" w:rsidRDefault="00AF3AFC" w:rsidP="00AF3AFC">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By the end of the course students should be able to:</w:t>
      </w:r>
    </w:p>
    <w:p w14:paraId="578A2350" w14:textId="77777777" w:rsidR="00AF3AFC" w:rsidRPr="00B12AD7" w:rsidRDefault="00AF3AFC" w:rsidP="00AF3AFC">
      <w:pPr>
        <w:pStyle w:val="1"/>
        <w:numPr>
          <w:ilvl w:val="0"/>
          <w:numId w:val="1"/>
        </w:numPr>
        <w:spacing w:before="0"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 xml:space="preserve">Demonstrate an understanding of an area of political science which is new and relatively unexplored </w:t>
      </w:r>
    </w:p>
    <w:p w14:paraId="69799265" w14:textId="77777777" w:rsidR="00AF3AFC" w:rsidRPr="00B12AD7" w:rsidRDefault="00AF3AFC" w:rsidP="00AF3AFC">
      <w:pPr>
        <w:pStyle w:val="1"/>
        <w:numPr>
          <w:ilvl w:val="0"/>
          <w:numId w:val="1"/>
        </w:numPr>
        <w:spacing w:before="0"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Assess critically the actions of states and societies in times of war</w:t>
      </w:r>
    </w:p>
    <w:p w14:paraId="77F220D4" w14:textId="77777777" w:rsidR="00AF3AFC" w:rsidRPr="00B12AD7" w:rsidRDefault="00AF3AFC" w:rsidP="00AF3AFC">
      <w:pPr>
        <w:pStyle w:val="1"/>
        <w:numPr>
          <w:ilvl w:val="0"/>
          <w:numId w:val="1"/>
        </w:numPr>
        <w:spacing w:before="0"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Display an awareness of what led to the most important examples of mass violence in the Twentieth Century</w:t>
      </w:r>
    </w:p>
    <w:p w14:paraId="1EE253B0"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Indicative Content</w:t>
      </w:r>
    </w:p>
    <w:p w14:paraId="6BB1455A"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Introduction: Theories of Genocide, ethnic cleansing and displacement</w:t>
      </w:r>
    </w:p>
    <w:p w14:paraId="0ABE734D"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Displacement and ethnic cleansing before the 20</w:t>
      </w:r>
      <w:r w:rsidRPr="00B12AD7">
        <w:rPr>
          <w:rFonts w:ascii="DINCE-Regular" w:hAnsi="DINCE-Regular" w:cs="Times New Roman"/>
          <w:color w:val="404040" w:themeColor="text1" w:themeTint="BF"/>
          <w:sz w:val="22"/>
          <w:szCs w:val="22"/>
          <w:vertAlign w:val="superscript"/>
          <w:lang w:val="en-GB"/>
        </w:rPr>
        <w:t>th</w:t>
      </w:r>
      <w:r w:rsidRPr="00B12AD7">
        <w:rPr>
          <w:rFonts w:ascii="DINCE-Regular" w:hAnsi="DINCE-Regular" w:cs="Times New Roman"/>
          <w:color w:val="404040" w:themeColor="text1" w:themeTint="BF"/>
          <w:sz w:val="22"/>
          <w:szCs w:val="22"/>
          <w:lang w:val="en-GB"/>
        </w:rPr>
        <w:t xml:space="preserve"> century</w:t>
      </w:r>
    </w:p>
    <w:p w14:paraId="475A1023"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The Armenian Genocide</w:t>
      </w:r>
    </w:p>
    <w:p w14:paraId="6529ED46"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proofErr w:type="gramStart"/>
      <w:r w:rsidRPr="00B12AD7">
        <w:rPr>
          <w:rFonts w:ascii="DINCE-Regular" w:hAnsi="DINCE-Regular" w:cs="Times New Roman"/>
          <w:color w:val="404040" w:themeColor="text1" w:themeTint="BF"/>
          <w:sz w:val="22"/>
          <w:szCs w:val="22"/>
          <w:lang w:val="en-GB"/>
        </w:rPr>
        <w:t>Greek-Turkish</w:t>
      </w:r>
      <w:proofErr w:type="gramEnd"/>
      <w:r w:rsidRPr="00B12AD7">
        <w:rPr>
          <w:rFonts w:ascii="DINCE-Regular" w:hAnsi="DINCE-Regular" w:cs="Times New Roman"/>
          <w:color w:val="404040" w:themeColor="text1" w:themeTint="BF"/>
          <w:sz w:val="22"/>
          <w:szCs w:val="22"/>
          <w:lang w:val="en-GB"/>
        </w:rPr>
        <w:t xml:space="preserve"> exchanges, the Treaty of Lausanne</w:t>
      </w:r>
    </w:p>
    <w:p w14:paraId="1480791D"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Soviet national deportations in the 1930’s</w:t>
      </w:r>
    </w:p>
    <w:p w14:paraId="1FB3097B"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in the Second World War</w:t>
      </w:r>
    </w:p>
    <w:p w14:paraId="327F7326"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in Europe in the war’s aftermath</w:t>
      </w:r>
    </w:p>
    <w:p w14:paraId="5E714CDF"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in the Indian partition 1947</w:t>
      </w:r>
    </w:p>
    <w:p w14:paraId="3B9EFF92"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in Palestine 1948</w:t>
      </w:r>
    </w:p>
    <w:p w14:paraId="5DBF67D8"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in the Wars of Yugoslav succession</w:t>
      </w:r>
    </w:p>
    <w:p w14:paraId="12FFA136"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in Rwanda</w:t>
      </w:r>
    </w:p>
    <w:p w14:paraId="73D862FD" w14:textId="77777777" w:rsidR="00AF3AFC" w:rsidRPr="00B12AD7" w:rsidRDefault="00AF3AFC" w:rsidP="00AF3AFC">
      <w:pPr>
        <w:pStyle w:val="1"/>
        <w:numPr>
          <w:ilvl w:val="0"/>
          <w:numId w:val="2"/>
        </w:numPr>
        <w:spacing w:after="0"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Ethnic cleansing and displacement and course conclusions</w:t>
      </w:r>
    </w:p>
    <w:p w14:paraId="4F5A83F6"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Teaching and Learning</w:t>
      </w:r>
    </w:p>
    <w:p w14:paraId="5E855E8A"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This module will be taught by means of seminars, workshops, and self-directed study.</w:t>
      </w:r>
    </w:p>
    <w:p w14:paraId="3D88BCBC"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41BD41A7"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AF3AFC" w:rsidRPr="00B12AD7" w14:paraId="63975D17" w14:textId="77777777" w:rsidTr="00FE71EB">
        <w:trPr>
          <w:trHeight w:val="432"/>
          <w:tblCellSpacing w:w="15" w:type="dxa"/>
        </w:trPr>
        <w:tc>
          <w:tcPr>
            <w:tcW w:w="0" w:type="auto"/>
            <w:tcMar>
              <w:top w:w="15" w:type="dxa"/>
              <w:left w:w="480" w:type="dxa"/>
              <w:bottom w:w="15" w:type="dxa"/>
              <w:right w:w="240" w:type="dxa"/>
            </w:tcMar>
            <w:vAlign w:val="center"/>
          </w:tcPr>
          <w:p w14:paraId="148C76D7"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Guided</w:t>
            </w:r>
          </w:p>
        </w:tc>
        <w:tc>
          <w:tcPr>
            <w:tcW w:w="0" w:type="auto"/>
            <w:vAlign w:val="center"/>
          </w:tcPr>
          <w:p w14:paraId="6BB7E168"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084F41AE"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AF3AFC" w:rsidRPr="00B12AD7" w14:paraId="5EBE78EA" w14:textId="77777777" w:rsidTr="00FE71EB">
        <w:trPr>
          <w:trHeight w:val="432"/>
          <w:tblCellSpacing w:w="15" w:type="dxa"/>
        </w:trPr>
        <w:tc>
          <w:tcPr>
            <w:tcW w:w="0" w:type="auto"/>
            <w:tcMar>
              <w:top w:w="15" w:type="dxa"/>
              <w:left w:w="480" w:type="dxa"/>
              <w:bottom w:w="15" w:type="dxa"/>
              <w:right w:w="240" w:type="dxa"/>
            </w:tcMar>
            <w:vAlign w:val="center"/>
          </w:tcPr>
          <w:p w14:paraId="40DB33FE"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Lecture</w:t>
            </w:r>
          </w:p>
        </w:tc>
        <w:tc>
          <w:tcPr>
            <w:tcW w:w="0" w:type="auto"/>
            <w:vAlign w:val="center"/>
          </w:tcPr>
          <w:p w14:paraId="34665BAF"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55D81C31"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AF3AFC" w:rsidRPr="00B12AD7" w14:paraId="649DF7E7" w14:textId="77777777" w:rsidTr="00FE71EB">
        <w:trPr>
          <w:trHeight w:val="432"/>
          <w:tblCellSpacing w:w="15" w:type="dxa"/>
        </w:trPr>
        <w:tc>
          <w:tcPr>
            <w:tcW w:w="0" w:type="auto"/>
            <w:tcMar>
              <w:top w:w="15" w:type="dxa"/>
              <w:left w:w="480" w:type="dxa"/>
              <w:bottom w:w="15" w:type="dxa"/>
              <w:right w:w="240" w:type="dxa"/>
            </w:tcMar>
            <w:vAlign w:val="center"/>
          </w:tcPr>
          <w:p w14:paraId="4C317F2D"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Self-guided</w:t>
            </w:r>
          </w:p>
        </w:tc>
        <w:tc>
          <w:tcPr>
            <w:tcW w:w="0" w:type="auto"/>
            <w:vAlign w:val="center"/>
          </w:tcPr>
          <w:p w14:paraId="21E8B6D8"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60 hours</w:t>
            </w:r>
          </w:p>
        </w:tc>
        <w:tc>
          <w:tcPr>
            <w:tcW w:w="0" w:type="auto"/>
            <w:vAlign w:val="center"/>
          </w:tcPr>
          <w:p w14:paraId="77BB399B"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(60%)</w:t>
            </w:r>
          </w:p>
        </w:tc>
      </w:tr>
      <w:tr w:rsidR="00AF3AFC" w:rsidRPr="00B12AD7" w14:paraId="342D1741" w14:textId="77777777" w:rsidTr="00FE71EB">
        <w:trPr>
          <w:trHeight w:val="432"/>
          <w:tblCellSpacing w:w="15" w:type="dxa"/>
        </w:trPr>
        <w:tc>
          <w:tcPr>
            <w:tcW w:w="0" w:type="auto"/>
            <w:tcMar>
              <w:top w:w="15" w:type="dxa"/>
              <w:left w:w="480" w:type="dxa"/>
              <w:bottom w:w="15" w:type="dxa"/>
              <w:right w:w="240" w:type="dxa"/>
            </w:tcMar>
            <w:vAlign w:val="center"/>
          </w:tcPr>
          <w:p w14:paraId="1B3C37DB"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Seminar</w:t>
            </w:r>
          </w:p>
        </w:tc>
        <w:tc>
          <w:tcPr>
            <w:tcW w:w="0" w:type="auto"/>
            <w:vAlign w:val="center"/>
          </w:tcPr>
          <w:p w14:paraId="7037855A"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 hours</w:t>
            </w:r>
          </w:p>
        </w:tc>
        <w:tc>
          <w:tcPr>
            <w:tcW w:w="0" w:type="auto"/>
            <w:vAlign w:val="center"/>
          </w:tcPr>
          <w:p w14:paraId="1D03C1C3"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w:t>
            </w:r>
          </w:p>
        </w:tc>
      </w:tr>
      <w:tr w:rsidR="00AF3AFC" w:rsidRPr="00B12AD7" w14:paraId="1354FB77" w14:textId="77777777" w:rsidTr="00FE71EB">
        <w:trPr>
          <w:trHeight w:val="432"/>
          <w:tblCellSpacing w:w="15" w:type="dxa"/>
        </w:trPr>
        <w:tc>
          <w:tcPr>
            <w:tcW w:w="0" w:type="auto"/>
            <w:tcMar>
              <w:top w:w="15" w:type="dxa"/>
              <w:left w:w="480" w:type="dxa"/>
              <w:bottom w:w="15" w:type="dxa"/>
              <w:right w:w="240" w:type="dxa"/>
            </w:tcMar>
            <w:vAlign w:val="center"/>
          </w:tcPr>
          <w:p w14:paraId="40E1E20B"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Workshop</w:t>
            </w:r>
          </w:p>
        </w:tc>
        <w:tc>
          <w:tcPr>
            <w:tcW w:w="0" w:type="auto"/>
            <w:vAlign w:val="center"/>
          </w:tcPr>
          <w:p w14:paraId="34A99A23"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 hours</w:t>
            </w:r>
          </w:p>
        </w:tc>
        <w:tc>
          <w:tcPr>
            <w:tcW w:w="0" w:type="auto"/>
            <w:vAlign w:val="center"/>
          </w:tcPr>
          <w:p w14:paraId="698AF7E5"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w:t>
            </w:r>
          </w:p>
        </w:tc>
      </w:tr>
      <w:tr w:rsidR="00AF3AFC" w:rsidRPr="00B12AD7" w14:paraId="7DE1EEC2" w14:textId="77777777" w:rsidTr="00FE71EB">
        <w:trPr>
          <w:trHeight w:val="432"/>
          <w:tblCellSpacing w:w="15" w:type="dxa"/>
        </w:trPr>
        <w:tc>
          <w:tcPr>
            <w:tcW w:w="0" w:type="auto"/>
            <w:tcMar>
              <w:top w:w="15" w:type="dxa"/>
              <w:left w:w="480" w:type="dxa"/>
              <w:bottom w:w="15" w:type="dxa"/>
              <w:right w:w="240" w:type="dxa"/>
            </w:tcMar>
            <w:vAlign w:val="center"/>
          </w:tcPr>
          <w:p w14:paraId="3E3FAD97"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w:t>
            </w:r>
          </w:p>
        </w:tc>
        <w:tc>
          <w:tcPr>
            <w:tcW w:w="0" w:type="auto"/>
            <w:vAlign w:val="center"/>
          </w:tcPr>
          <w:p w14:paraId="2BF35DE3"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 hours</w:t>
            </w:r>
          </w:p>
        </w:tc>
        <w:tc>
          <w:tcPr>
            <w:tcW w:w="0" w:type="auto"/>
            <w:vAlign w:val="center"/>
          </w:tcPr>
          <w:p w14:paraId="326593C0"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 </w:t>
            </w:r>
          </w:p>
        </w:tc>
      </w:tr>
    </w:tbl>
    <w:p w14:paraId="5F9189A7"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Method </w:t>
      </w:r>
      <w:r w:rsidRPr="00B12AD7">
        <w:rPr>
          <w:rFonts w:ascii="DINCE-Regular" w:hAnsi="DINCE-Regular"/>
          <w:b/>
          <w:bCs/>
          <w:color w:val="404040" w:themeColor="text1" w:themeTint="BF"/>
          <w:sz w:val="22"/>
          <w:szCs w:val="22"/>
          <w:lang w:val="en-GB" w:eastAsia="en-GB"/>
        </w:rPr>
        <w:t>of</w:t>
      </w:r>
      <w:r w:rsidRPr="00B12AD7">
        <w:rPr>
          <w:rFonts w:ascii="DINCE-Regular" w:hAnsi="DINCE-Regular"/>
          <w:b/>
          <w:color w:val="404040" w:themeColor="text1" w:themeTint="BF"/>
          <w:sz w:val="22"/>
          <w:szCs w:val="22"/>
          <w:lang w:val="en-GB"/>
        </w:rPr>
        <w:t xml:space="preserve"> Assessment (normally assessed as follows)</w:t>
      </w:r>
    </w:p>
    <w:p w14:paraId="6D5AAB33"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4A66B412" w14:textId="1F3DE201"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Essay (60% – </w:t>
      </w:r>
      <w:r>
        <w:rPr>
          <w:rFonts w:ascii="DINCE-Regular" w:hAnsi="DINCE-Regular"/>
          <w:color w:val="404040" w:themeColor="text1" w:themeTint="BF"/>
          <w:sz w:val="22"/>
          <w:szCs w:val="22"/>
          <w:lang w:val="en-GB"/>
        </w:rPr>
        <w:t>3</w:t>
      </w:r>
      <w:r w:rsidRPr="00B12AD7">
        <w:rPr>
          <w:rFonts w:ascii="DINCE-Regular" w:hAnsi="DINCE-Regular"/>
          <w:color w:val="404040" w:themeColor="text1" w:themeTint="BF"/>
          <w:sz w:val="22"/>
          <w:szCs w:val="22"/>
          <w:lang w:val="en-GB"/>
        </w:rPr>
        <w:t xml:space="preserve"> Credits): </w:t>
      </w:r>
      <w:r w:rsidRPr="00B12AD7">
        <w:rPr>
          <w:rFonts w:ascii="DINCE-Regular" w:hAnsi="DINCE-Regular"/>
          <w:color w:val="404040" w:themeColor="text1" w:themeTint="BF"/>
          <w:sz w:val="22"/>
          <w:szCs w:val="22"/>
          <w:lang w:val="en-GB" w:eastAsia="en-GB"/>
        </w:rPr>
        <w:t>3000</w:t>
      </w:r>
      <w:r w:rsidRPr="00B12AD7">
        <w:rPr>
          <w:rFonts w:ascii="DINCE-Regular" w:hAnsi="DINCE-Regular"/>
          <w:color w:val="404040" w:themeColor="text1" w:themeTint="BF"/>
          <w:sz w:val="22"/>
          <w:szCs w:val="22"/>
          <w:lang w:val="en-GB"/>
        </w:rPr>
        <w:t xml:space="preserve"> words; </w:t>
      </w:r>
      <w:r w:rsidRPr="00B12AD7">
        <w:rPr>
          <w:rFonts w:ascii="DINCE-Regular" w:hAnsi="DINCE-Regular"/>
          <w:color w:val="404040" w:themeColor="text1" w:themeTint="BF"/>
          <w:sz w:val="22"/>
          <w:szCs w:val="22"/>
          <w:lang w:val="en-GB" w:eastAsia="en-GB"/>
        </w:rPr>
        <w:t>contributes</w:t>
      </w:r>
      <w:r w:rsidRPr="00B12AD7">
        <w:rPr>
          <w:rFonts w:ascii="DINCE-Regular" w:hAnsi="DINCE-Regular"/>
          <w:color w:val="404040" w:themeColor="text1" w:themeTint="BF"/>
          <w:sz w:val="22"/>
          <w:szCs w:val="22"/>
          <w:lang w:val="en-GB"/>
        </w:rPr>
        <w:t xml:space="preserve"> to learning outcomes 1, 2, 3 </w:t>
      </w:r>
    </w:p>
    <w:p w14:paraId="6116E9A2" w14:textId="2DCEA1A6"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Final exam (40% – </w:t>
      </w:r>
      <w:r>
        <w:rPr>
          <w:rFonts w:ascii="DINCE-Regular" w:hAnsi="DINCE-Regular"/>
          <w:color w:val="404040" w:themeColor="text1" w:themeTint="BF"/>
          <w:sz w:val="22"/>
          <w:szCs w:val="22"/>
          <w:lang w:val="en-GB"/>
        </w:rPr>
        <w:t>2</w:t>
      </w:r>
      <w:r w:rsidRPr="00B12AD7">
        <w:rPr>
          <w:rFonts w:ascii="DINCE-Regular" w:hAnsi="DINCE-Regular"/>
          <w:color w:val="404040" w:themeColor="text1" w:themeTint="BF"/>
          <w:sz w:val="22"/>
          <w:szCs w:val="22"/>
          <w:lang w:val="en-GB"/>
        </w:rPr>
        <w:t xml:space="preserve"> Credits): 120 minutes; contributes to learning outcomes 1, 2, 3</w:t>
      </w:r>
    </w:p>
    <w:p w14:paraId="470DD68D"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78ECABDF" w14:textId="77777777" w:rsidR="00AF3AFC" w:rsidRPr="00B12AD7" w:rsidRDefault="00AF3AFC" w:rsidP="00AF3AFC">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2A8A833F" w14:textId="77777777" w:rsidR="00AF3AFC" w:rsidRPr="00B12AD7" w:rsidRDefault="00AF3AFC" w:rsidP="00AF3AFC">
      <w:pPr>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Date of last amendment</w:t>
      </w:r>
    </w:p>
    <w:p w14:paraId="1ED9DDAF"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17-08-2014</w:t>
      </w:r>
    </w:p>
    <w:p w14:paraId="271A353A" w14:textId="77777777" w:rsidR="00AF3AFC" w:rsidRPr="00B12AD7" w:rsidRDefault="00AF3AFC" w:rsidP="00AF3AFC">
      <w:pPr>
        <w:pStyle w:val="Heading3"/>
        <w:spacing w:line="276" w:lineRule="auto"/>
        <w:jc w:val="both"/>
        <w:rPr>
          <w:rFonts w:ascii="DINCE-Regular" w:hAnsi="DINCE-Regular" w:cs="Times New Roman"/>
          <w:b/>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3. MODULE RESOURCES</w:t>
      </w:r>
    </w:p>
    <w:p w14:paraId="3378C3D1" w14:textId="77777777" w:rsidR="00AF3AFC" w:rsidRPr="00B12AD7" w:rsidRDefault="00AF3AFC" w:rsidP="00AF3AFC">
      <w:pPr>
        <w:shd w:val="clear" w:color="auto" w:fill="FFFFFF"/>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Essential Reading</w:t>
      </w:r>
    </w:p>
    <w:p w14:paraId="3AFD0949" w14:textId="77777777" w:rsidR="00AF3AFC" w:rsidRPr="00B12AD7" w:rsidRDefault="00AF3AFC" w:rsidP="00AF3AFC">
      <w:pPr>
        <w:pStyle w:val="1"/>
        <w:spacing w:after="0" w:line="276" w:lineRule="auto"/>
        <w:ind w:left="720" w:hanging="720"/>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 xml:space="preserve">Mann, M., 2009. </w:t>
      </w:r>
      <w:r w:rsidRPr="00B12AD7">
        <w:rPr>
          <w:rFonts w:ascii="DINCE-Regular" w:hAnsi="DINCE-Regular" w:cs="Times New Roman"/>
          <w:i/>
          <w:color w:val="404040" w:themeColor="text1" w:themeTint="BF"/>
          <w:sz w:val="22"/>
          <w:szCs w:val="22"/>
          <w:lang w:val="en-GB"/>
        </w:rPr>
        <w:t>The Dark Side of Democracy: Explaining Ethnic Cleansing</w:t>
      </w:r>
      <w:r w:rsidRPr="00B12AD7">
        <w:rPr>
          <w:rFonts w:ascii="DINCE-Regular" w:hAnsi="DINCE-Regular" w:cs="Times New Roman"/>
          <w:color w:val="404040" w:themeColor="text1" w:themeTint="BF"/>
          <w:sz w:val="22"/>
          <w:szCs w:val="22"/>
          <w:lang w:val="en-GB"/>
        </w:rPr>
        <w:t>. New York: Cambridge University Press.</w:t>
      </w:r>
    </w:p>
    <w:p w14:paraId="1859FFA0" w14:textId="77777777" w:rsidR="00AF3AFC" w:rsidRPr="00B12AD7" w:rsidRDefault="00AF3AFC" w:rsidP="00AF3AFC">
      <w:pPr>
        <w:pStyle w:val="1"/>
        <w:spacing w:after="0" w:line="276" w:lineRule="auto"/>
        <w:ind w:left="720" w:hanging="720"/>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 xml:space="preserve">Naimark, N., 2001. </w:t>
      </w:r>
      <w:r w:rsidRPr="00B12AD7">
        <w:rPr>
          <w:rFonts w:ascii="DINCE-Regular" w:hAnsi="DINCE-Regular" w:cs="Times New Roman"/>
          <w:i/>
          <w:color w:val="404040" w:themeColor="text1" w:themeTint="BF"/>
          <w:sz w:val="22"/>
          <w:szCs w:val="22"/>
          <w:lang w:val="en-GB"/>
        </w:rPr>
        <w:t>Fires of Hatred</w:t>
      </w:r>
      <w:r w:rsidRPr="00B12AD7">
        <w:rPr>
          <w:rFonts w:ascii="DINCE-Regular" w:hAnsi="DINCE-Regular" w:cs="Times New Roman"/>
          <w:color w:val="404040" w:themeColor="text1" w:themeTint="BF"/>
          <w:sz w:val="22"/>
          <w:szCs w:val="22"/>
          <w:lang w:val="en-GB"/>
        </w:rPr>
        <w:t>,</w:t>
      </w:r>
      <w:r w:rsidRPr="00B12AD7">
        <w:rPr>
          <w:rFonts w:ascii="DINCE-Regular" w:hAnsi="DINCE-Regular" w:cs="Times New Roman"/>
          <w:i/>
          <w:color w:val="404040" w:themeColor="text1" w:themeTint="BF"/>
          <w:sz w:val="22"/>
          <w:szCs w:val="22"/>
          <w:lang w:val="en-GB"/>
        </w:rPr>
        <w:t xml:space="preserve"> Ethnic Cleansing in Twentieth Century Europe</w:t>
      </w:r>
      <w:r w:rsidRPr="00B12AD7">
        <w:rPr>
          <w:rFonts w:ascii="DINCE-Regular" w:hAnsi="DINCE-Regular" w:cs="Times New Roman"/>
          <w:color w:val="404040" w:themeColor="text1" w:themeTint="BF"/>
          <w:sz w:val="22"/>
          <w:szCs w:val="22"/>
          <w:lang w:val="en-GB"/>
        </w:rPr>
        <w:t>. Cambridge, Mass.: Harvard University Press.</w:t>
      </w:r>
    </w:p>
    <w:p w14:paraId="4FB06940" w14:textId="77777777" w:rsidR="00AF3AFC" w:rsidRPr="00B12AD7" w:rsidRDefault="00AF3AFC" w:rsidP="00AF3AFC">
      <w:pPr>
        <w:shd w:val="clear" w:color="auto" w:fill="FFFFFF"/>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Recommended Reading</w:t>
      </w:r>
    </w:p>
    <w:p w14:paraId="3DC2AB12" w14:textId="77777777" w:rsidR="00AF3AFC" w:rsidRPr="00B12AD7" w:rsidRDefault="00AF3AFC" w:rsidP="00AF3AFC">
      <w:pPr>
        <w:pStyle w:val="1"/>
        <w:spacing w:after="0" w:line="276" w:lineRule="auto"/>
        <w:ind w:left="720" w:hanging="720"/>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 xml:space="preserve">Brown, K., 2005. </w:t>
      </w:r>
      <w:r w:rsidRPr="00B12AD7">
        <w:rPr>
          <w:rFonts w:ascii="DINCE-Regular" w:hAnsi="DINCE-Regular" w:cs="Times New Roman"/>
          <w:i/>
          <w:color w:val="404040" w:themeColor="text1" w:themeTint="BF"/>
          <w:sz w:val="22"/>
          <w:szCs w:val="22"/>
          <w:lang w:val="en-GB"/>
        </w:rPr>
        <w:t>A Biography of No Place</w:t>
      </w:r>
      <w:r w:rsidRPr="00B12AD7">
        <w:rPr>
          <w:rFonts w:ascii="DINCE-Regular" w:hAnsi="DINCE-Regular" w:cs="Times New Roman"/>
          <w:color w:val="404040" w:themeColor="text1" w:themeTint="BF"/>
          <w:sz w:val="22"/>
          <w:szCs w:val="22"/>
          <w:lang w:val="en-GB"/>
        </w:rPr>
        <w:t>. Cambridge, Mass.: Harvard University Press.</w:t>
      </w:r>
    </w:p>
    <w:p w14:paraId="70299DD0" w14:textId="77777777" w:rsidR="00AF3AFC" w:rsidRPr="00B12AD7" w:rsidRDefault="00AF3AFC" w:rsidP="00AF3AFC">
      <w:pPr>
        <w:pStyle w:val="1"/>
        <w:spacing w:after="0" w:line="276" w:lineRule="auto"/>
        <w:ind w:left="720" w:hanging="720"/>
        <w:jc w:val="both"/>
        <w:rPr>
          <w:rFonts w:ascii="DINCE-Regular" w:hAnsi="DINCE-Regular" w:cs="Times New Roman"/>
          <w:color w:val="404040" w:themeColor="text1" w:themeTint="BF"/>
          <w:sz w:val="22"/>
          <w:szCs w:val="22"/>
          <w:lang w:val="en-GB"/>
        </w:rPr>
      </w:pPr>
      <w:proofErr w:type="spellStart"/>
      <w:r w:rsidRPr="00B12AD7">
        <w:rPr>
          <w:rFonts w:ascii="DINCE-Regular" w:hAnsi="DINCE-Regular" w:cs="Times New Roman"/>
          <w:color w:val="404040" w:themeColor="text1" w:themeTint="BF"/>
          <w:sz w:val="22"/>
          <w:szCs w:val="22"/>
          <w:lang w:val="en-GB"/>
        </w:rPr>
        <w:t>Gellately</w:t>
      </w:r>
      <w:proofErr w:type="spellEnd"/>
      <w:r w:rsidRPr="00B12AD7">
        <w:rPr>
          <w:rFonts w:ascii="DINCE-Regular" w:hAnsi="DINCE-Regular" w:cs="Times New Roman"/>
          <w:color w:val="404040" w:themeColor="text1" w:themeTint="BF"/>
          <w:sz w:val="22"/>
          <w:szCs w:val="22"/>
          <w:lang w:val="en-GB"/>
        </w:rPr>
        <w:t xml:space="preserve">, R., Kiernan, B., 2003. </w:t>
      </w:r>
      <w:r w:rsidRPr="00B12AD7">
        <w:rPr>
          <w:rFonts w:ascii="DINCE-Regular" w:hAnsi="DINCE-Regular" w:cs="Times New Roman"/>
          <w:i/>
          <w:color w:val="404040" w:themeColor="text1" w:themeTint="BF"/>
          <w:sz w:val="22"/>
          <w:szCs w:val="22"/>
          <w:lang w:val="en-GB"/>
        </w:rPr>
        <w:t>The Specter of Genocide: Mass Murder in Historical Perspective</w:t>
      </w:r>
      <w:r w:rsidRPr="00B12AD7">
        <w:rPr>
          <w:rFonts w:ascii="DINCE-Regular" w:hAnsi="DINCE-Regular" w:cs="Times New Roman"/>
          <w:color w:val="404040" w:themeColor="text1" w:themeTint="BF"/>
          <w:sz w:val="22"/>
          <w:szCs w:val="22"/>
          <w:lang w:val="en-GB"/>
        </w:rPr>
        <w:t>. New York: Cambridge University Press.</w:t>
      </w:r>
    </w:p>
    <w:p w14:paraId="07983152" w14:textId="77777777" w:rsidR="00AF3AFC" w:rsidRPr="00B12AD7" w:rsidRDefault="00AF3AFC" w:rsidP="00AF3AFC">
      <w:pPr>
        <w:pStyle w:val="1"/>
        <w:spacing w:after="0" w:line="276" w:lineRule="auto"/>
        <w:ind w:left="720" w:hanging="720"/>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 xml:space="preserve">Morris, B., 2004. </w:t>
      </w:r>
      <w:r w:rsidRPr="00B12AD7">
        <w:rPr>
          <w:rFonts w:ascii="DINCE-Regular" w:hAnsi="DINCE-Regular" w:cs="Times New Roman"/>
          <w:i/>
          <w:color w:val="404040" w:themeColor="text1" w:themeTint="BF"/>
          <w:sz w:val="22"/>
          <w:szCs w:val="22"/>
          <w:lang w:val="en-GB"/>
        </w:rPr>
        <w:t>The Birth of the Palestinian Refugee Problem Revisited</w:t>
      </w:r>
      <w:r w:rsidRPr="00B12AD7">
        <w:rPr>
          <w:rFonts w:ascii="DINCE-Regular" w:hAnsi="DINCE-Regular" w:cs="Times New Roman"/>
          <w:color w:val="404040" w:themeColor="text1" w:themeTint="BF"/>
          <w:sz w:val="22"/>
          <w:szCs w:val="22"/>
          <w:lang w:val="en-GB"/>
        </w:rPr>
        <w:t>. New York: Cambridge University Press.</w:t>
      </w:r>
    </w:p>
    <w:p w14:paraId="74A8DAE5" w14:textId="77777777" w:rsidR="00AF3AFC" w:rsidRPr="00B12AD7" w:rsidRDefault="00AF3AFC" w:rsidP="00AF3AFC">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Prunier, G., 2008.</w:t>
      </w:r>
      <w:r w:rsidRPr="00B12AD7">
        <w:rPr>
          <w:rFonts w:ascii="DINCE-Regular" w:eastAsia="Arial Narrow" w:hAnsi="DINCE-Regular"/>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Darfur:</w:t>
      </w:r>
      <w:r w:rsidRPr="00B12AD7">
        <w:rPr>
          <w:rFonts w:ascii="DINCE-Regular" w:eastAsia="Arial Narrow" w:hAnsi="DINCE-Regular"/>
          <w:i/>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A</w:t>
      </w:r>
      <w:r w:rsidRPr="00B12AD7">
        <w:rPr>
          <w:rFonts w:ascii="DINCE-Regular" w:eastAsia="Arial Narrow" w:hAnsi="DINCE-Regular"/>
          <w:i/>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21</w:t>
      </w:r>
      <w:r w:rsidRPr="00B12AD7">
        <w:rPr>
          <w:rFonts w:ascii="DINCE-Regular" w:hAnsi="DINCE-Regular"/>
          <w:i/>
          <w:color w:val="404040" w:themeColor="text1" w:themeTint="BF"/>
          <w:sz w:val="22"/>
          <w:szCs w:val="22"/>
          <w:vertAlign w:val="superscript"/>
          <w:lang w:val="en-GB"/>
        </w:rPr>
        <w:t>st</w:t>
      </w:r>
      <w:r w:rsidRPr="00B12AD7">
        <w:rPr>
          <w:rFonts w:ascii="DINCE-Regular" w:eastAsia="Arial Narrow" w:hAnsi="DINCE-Regular"/>
          <w:i/>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Century</w:t>
      </w:r>
      <w:r w:rsidRPr="00B12AD7">
        <w:rPr>
          <w:rFonts w:ascii="DINCE-Regular" w:eastAsia="Arial Narrow" w:hAnsi="DINCE-Regular"/>
          <w:i/>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Genocide.</w:t>
      </w:r>
      <w:r w:rsidRPr="00B12AD7">
        <w:rPr>
          <w:rFonts w:ascii="DINCE-Regular" w:eastAsia="Arial Narrow" w:hAnsi="DINCE-Regular"/>
          <w:i/>
          <w:color w:val="404040" w:themeColor="text1" w:themeTint="BF"/>
          <w:sz w:val="22"/>
          <w:szCs w:val="22"/>
          <w:lang w:val="en-GB"/>
        </w:rPr>
        <w:t xml:space="preserve"> </w:t>
      </w:r>
      <w:r w:rsidRPr="00B12AD7">
        <w:rPr>
          <w:rFonts w:ascii="DINCE-Regular" w:hAnsi="DINCE-Regular"/>
          <w:color w:val="404040" w:themeColor="text1" w:themeTint="BF"/>
          <w:sz w:val="22"/>
          <w:szCs w:val="22"/>
          <w:lang w:val="en-GB"/>
        </w:rPr>
        <w:t>3</w:t>
      </w:r>
      <w:r w:rsidRPr="00B12AD7">
        <w:rPr>
          <w:rFonts w:ascii="DINCE-Regular" w:hAnsi="DINCE-Regular"/>
          <w:color w:val="404040" w:themeColor="text1" w:themeTint="BF"/>
          <w:sz w:val="22"/>
          <w:szCs w:val="22"/>
          <w:vertAlign w:val="superscript"/>
          <w:lang w:val="en-GB"/>
        </w:rPr>
        <w:t>rd</w:t>
      </w:r>
      <w:r w:rsidRPr="00B12AD7">
        <w:rPr>
          <w:rFonts w:ascii="DINCE-Regular" w:hAnsi="DINCE-Regular"/>
          <w:color w:val="404040" w:themeColor="text1" w:themeTint="BF"/>
          <w:sz w:val="22"/>
          <w:szCs w:val="22"/>
          <w:lang w:val="en-GB"/>
        </w:rPr>
        <w:t xml:space="preserve"> ed. Ithaca, NY: Cornell University Press.</w:t>
      </w:r>
    </w:p>
    <w:p w14:paraId="0CE287AB" w14:textId="77777777" w:rsidR="00AF3AFC" w:rsidRPr="00B12AD7" w:rsidRDefault="00AF3AFC" w:rsidP="00AF3AFC">
      <w:pPr>
        <w:shd w:val="clear" w:color="auto" w:fill="FFFFFF"/>
        <w:spacing w:line="276" w:lineRule="auto"/>
        <w:ind w:left="720" w:hanging="720"/>
        <w:jc w:val="both"/>
        <w:rPr>
          <w:rFonts w:ascii="DINCE-Regular" w:hAnsi="DINCE-Regular"/>
          <w:bCs/>
          <w:color w:val="404040" w:themeColor="text1" w:themeTint="BF"/>
          <w:sz w:val="22"/>
          <w:szCs w:val="22"/>
          <w:lang w:val="en-GB" w:eastAsia="en-GB"/>
        </w:rPr>
      </w:pPr>
      <w:proofErr w:type="spellStart"/>
      <w:r w:rsidRPr="00B12AD7">
        <w:rPr>
          <w:rFonts w:ascii="DINCE-Regular" w:hAnsi="DINCE-Regular"/>
          <w:bCs/>
          <w:color w:val="404040" w:themeColor="text1" w:themeTint="BF"/>
          <w:sz w:val="22"/>
          <w:szCs w:val="22"/>
          <w:lang w:val="en-GB" w:eastAsia="en-GB"/>
        </w:rPr>
        <w:t>Chirot</w:t>
      </w:r>
      <w:proofErr w:type="spellEnd"/>
      <w:r w:rsidRPr="00B12AD7">
        <w:rPr>
          <w:rFonts w:ascii="DINCE-Regular" w:hAnsi="DINCE-Regular"/>
          <w:bCs/>
          <w:color w:val="404040" w:themeColor="text1" w:themeTint="BF"/>
          <w:sz w:val="22"/>
          <w:szCs w:val="22"/>
          <w:lang w:val="en-GB" w:eastAsia="en-GB"/>
        </w:rPr>
        <w:t xml:space="preserve">, D., McCauley, C., 2010. </w:t>
      </w:r>
      <w:r w:rsidRPr="00B12AD7">
        <w:rPr>
          <w:rFonts w:ascii="DINCE-Regular" w:hAnsi="DINCE-Regular"/>
          <w:bCs/>
          <w:i/>
          <w:color w:val="404040" w:themeColor="text1" w:themeTint="BF"/>
          <w:sz w:val="22"/>
          <w:szCs w:val="22"/>
          <w:lang w:val="en-GB" w:eastAsia="en-GB"/>
        </w:rPr>
        <w:t>Why Not Kill Them All? The Logic and Prevention of Mass Political Murder</w:t>
      </w:r>
      <w:r w:rsidRPr="00B12AD7">
        <w:rPr>
          <w:rFonts w:ascii="DINCE-Regular" w:hAnsi="DINCE-Regular"/>
          <w:bCs/>
          <w:color w:val="404040" w:themeColor="text1" w:themeTint="BF"/>
          <w:sz w:val="22"/>
          <w:szCs w:val="22"/>
          <w:lang w:val="en-GB" w:eastAsia="en-GB"/>
        </w:rPr>
        <w:t>. Princeton: Princeton University Press.</w:t>
      </w:r>
    </w:p>
    <w:p w14:paraId="697B63FD" w14:textId="77777777" w:rsidR="00AF3AFC" w:rsidRPr="00B12AD7" w:rsidRDefault="00AF3AFC" w:rsidP="00AF3AFC">
      <w:pPr>
        <w:shd w:val="clear" w:color="auto" w:fill="FFFFFF"/>
        <w:spacing w:line="276" w:lineRule="auto"/>
        <w:ind w:left="720" w:hanging="720"/>
        <w:jc w:val="both"/>
        <w:rPr>
          <w:rFonts w:ascii="DINCE-Regular" w:hAnsi="DINCE-Regular"/>
          <w:b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Davidson, L., 2012. </w:t>
      </w:r>
      <w:r w:rsidRPr="00B12AD7">
        <w:rPr>
          <w:rFonts w:ascii="DINCE-Regular" w:hAnsi="DINCE-Regular"/>
          <w:bCs/>
          <w:i/>
          <w:color w:val="404040" w:themeColor="text1" w:themeTint="BF"/>
          <w:sz w:val="22"/>
          <w:szCs w:val="22"/>
          <w:lang w:val="en-GB" w:eastAsia="en-GB"/>
        </w:rPr>
        <w:t>Genocide, Political Violence, Human Rights</w:t>
      </w:r>
      <w:r w:rsidRPr="00B12AD7">
        <w:rPr>
          <w:rFonts w:ascii="DINCE-Regular" w:hAnsi="DINCE-Regular"/>
          <w:bCs/>
          <w:color w:val="404040" w:themeColor="text1" w:themeTint="BF"/>
          <w:sz w:val="22"/>
          <w:szCs w:val="22"/>
          <w:lang w:val="en-GB" w:eastAsia="en-GB"/>
        </w:rPr>
        <w:t xml:space="preserve">: Cultural Genocide. Piscataway, NJ, USA: Rutgers University Press. </w:t>
      </w:r>
    </w:p>
    <w:p w14:paraId="3DB7DBF1" w14:textId="77777777" w:rsidR="00AF3AFC" w:rsidRPr="00B12AD7" w:rsidRDefault="00AF3AFC" w:rsidP="00AF3AFC">
      <w:pPr>
        <w:shd w:val="clear" w:color="auto" w:fill="FFFFFF"/>
        <w:tabs>
          <w:tab w:val="left" w:pos="6270"/>
        </w:tabs>
        <w:spacing w:line="276" w:lineRule="auto"/>
        <w:ind w:left="720" w:hanging="720"/>
        <w:jc w:val="both"/>
        <w:rPr>
          <w:rFonts w:ascii="DINCE-Regular" w:hAnsi="DINCE-Regular"/>
          <w:b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Kevorkian, R., 2011. </w:t>
      </w:r>
      <w:r w:rsidRPr="00B12AD7">
        <w:rPr>
          <w:rFonts w:ascii="DINCE-Regular" w:hAnsi="DINCE-Regular"/>
          <w:bCs/>
          <w:i/>
          <w:color w:val="404040" w:themeColor="text1" w:themeTint="BF"/>
          <w:sz w:val="22"/>
          <w:szCs w:val="22"/>
          <w:lang w:val="en-GB" w:eastAsia="en-GB"/>
        </w:rPr>
        <w:t>The Armenian Genocide, A Complete History</w:t>
      </w:r>
      <w:r w:rsidRPr="00B12AD7">
        <w:rPr>
          <w:rFonts w:ascii="DINCE-Regular" w:hAnsi="DINCE-Regular"/>
          <w:bCs/>
          <w:color w:val="404040" w:themeColor="text1" w:themeTint="BF"/>
          <w:sz w:val="22"/>
          <w:szCs w:val="22"/>
          <w:lang w:val="en-GB" w:eastAsia="en-GB"/>
        </w:rPr>
        <w:t xml:space="preserve">, London: </w:t>
      </w:r>
      <w:proofErr w:type="spellStart"/>
      <w:r w:rsidRPr="00B12AD7">
        <w:rPr>
          <w:rFonts w:ascii="DINCE-Regular" w:hAnsi="DINCE-Regular"/>
          <w:bCs/>
          <w:color w:val="404040" w:themeColor="text1" w:themeTint="BF"/>
          <w:sz w:val="22"/>
          <w:szCs w:val="22"/>
          <w:lang w:val="en-GB" w:eastAsia="en-GB"/>
        </w:rPr>
        <w:t>I.</w:t>
      </w:r>
      <w:proofErr w:type="gramStart"/>
      <w:r w:rsidRPr="00B12AD7">
        <w:rPr>
          <w:rFonts w:ascii="DINCE-Regular" w:hAnsi="DINCE-Regular"/>
          <w:bCs/>
          <w:color w:val="404040" w:themeColor="text1" w:themeTint="BF"/>
          <w:sz w:val="22"/>
          <w:szCs w:val="22"/>
          <w:lang w:val="en-GB" w:eastAsia="en-GB"/>
        </w:rPr>
        <w:t>B.Tauris</w:t>
      </w:r>
      <w:proofErr w:type="spellEnd"/>
      <w:proofErr w:type="gramEnd"/>
      <w:r w:rsidRPr="00B12AD7">
        <w:rPr>
          <w:rFonts w:ascii="DINCE-Regular" w:hAnsi="DINCE-Regular"/>
          <w:bCs/>
          <w:color w:val="404040" w:themeColor="text1" w:themeTint="BF"/>
          <w:sz w:val="22"/>
          <w:szCs w:val="22"/>
          <w:lang w:val="en-GB" w:eastAsia="en-GB"/>
        </w:rPr>
        <w:t xml:space="preserve">. </w:t>
      </w:r>
    </w:p>
    <w:p w14:paraId="517D9021" w14:textId="77777777" w:rsidR="00AF3AFC" w:rsidRPr="00B12AD7" w:rsidRDefault="00AF3AFC" w:rsidP="00AF3AFC">
      <w:pPr>
        <w:shd w:val="clear" w:color="auto" w:fill="FFFFFF"/>
        <w:spacing w:line="276" w:lineRule="auto"/>
        <w:ind w:left="720" w:hanging="720"/>
        <w:jc w:val="both"/>
        <w:rPr>
          <w:rFonts w:ascii="DINCE-Regular" w:hAnsi="DINCE-Regular"/>
          <w:b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Van Der Wilt, H., </w:t>
      </w:r>
      <w:proofErr w:type="spellStart"/>
      <w:r w:rsidRPr="00B12AD7">
        <w:rPr>
          <w:rFonts w:ascii="DINCE-Regular" w:hAnsi="DINCE-Regular"/>
          <w:bCs/>
          <w:color w:val="404040" w:themeColor="text1" w:themeTint="BF"/>
          <w:sz w:val="22"/>
          <w:szCs w:val="22"/>
          <w:lang w:val="en-GB" w:eastAsia="en-GB"/>
        </w:rPr>
        <w:t>Vervliet</w:t>
      </w:r>
      <w:proofErr w:type="spellEnd"/>
      <w:r w:rsidRPr="00B12AD7">
        <w:rPr>
          <w:rFonts w:ascii="DINCE-Regular" w:hAnsi="DINCE-Regular"/>
          <w:bCs/>
          <w:color w:val="404040" w:themeColor="text1" w:themeTint="BF"/>
          <w:sz w:val="22"/>
          <w:szCs w:val="22"/>
          <w:lang w:val="en-GB" w:eastAsia="en-GB"/>
        </w:rPr>
        <w:t xml:space="preserve">, J., Sluiter, G., </w:t>
      </w:r>
      <w:proofErr w:type="spellStart"/>
      <w:r w:rsidRPr="00B12AD7">
        <w:rPr>
          <w:rFonts w:ascii="DINCE-Regular" w:hAnsi="DINCE-Regular"/>
          <w:bCs/>
          <w:color w:val="404040" w:themeColor="text1" w:themeTint="BF"/>
          <w:sz w:val="22"/>
          <w:szCs w:val="22"/>
          <w:lang w:val="en-GB" w:eastAsia="en-GB"/>
        </w:rPr>
        <w:t>Houwinkten</w:t>
      </w:r>
      <w:proofErr w:type="spellEnd"/>
      <w:r w:rsidRPr="00B12AD7">
        <w:rPr>
          <w:rFonts w:ascii="DINCE-Regular" w:hAnsi="DINCE-Regular"/>
          <w:bCs/>
          <w:color w:val="404040" w:themeColor="text1" w:themeTint="BF"/>
          <w:sz w:val="22"/>
          <w:szCs w:val="22"/>
          <w:lang w:val="en-GB" w:eastAsia="en-GB"/>
        </w:rPr>
        <w:t xml:space="preserve"> Cate, J., 2012. </w:t>
      </w:r>
      <w:r w:rsidRPr="00B12AD7">
        <w:rPr>
          <w:rFonts w:ascii="DINCE-Regular" w:hAnsi="DINCE-Regular"/>
          <w:bCs/>
          <w:i/>
          <w:color w:val="404040" w:themeColor="text1" w:themeTint="BF"/>
          <w:sz w:val="22"/>
          <w:szCs w:val="22"/>
          <w:lang w:val="en-GB" w:eastAsia="en-GB"/>
        </w:rPr>
        <w:t>The Genocide Convention. The Legacy of 60 Years.</w:t>
      </w:r>
      <w:r w:rsidRPr="00B12AD7">
        <w:rPr>
          <w:rFonts w:ascii="DINCE-Regular" w:hAnsi="DINCE-Regular"/>
          <w:bCs/>
          <w:color w:val="404040" w:themeColor="text1" w:themeTint="BF"/>
          <w:sz w:val="22"/>
          <w:szCs w:val="22"/>
          <w:lang w:val="en-GB" w:eastAsia="en-GB"/>
        </w:rPr>
        <w:t xml:space="preserve"> Leiden: BRILL.</w:t>
      </w:r>
    </w:p>
    <w:p w14:paraId="590F2B30"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Required Equipment</w:t>
      </w:r>
    </w:p>
    <w:p w14:paraId="35F8AB2D"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1FCBB5EA" w14:textId="77777777" w:rsidR="00AF3AFC" w:rsidRPr="00B12AD7" w:rsidRDefault="00AF3AFC" w:rsidP="00AF3AFC">
      <w:pPr>
        <w:pStyle w:val="Heading3"/>
        <w:spacing w:line="276" w:lineRule="auto"/>
        <w:jc w:val="both"/>
        <w:rPr>
          <w:rFonts w:ascii="DINCE-Regular" w:hAnsi="DINCE-Regular" w:cs="Times New Roman"/>
          <w:b/>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4. MODULE ORGANISATION</w:t>
      </w:r>
    </w:p>
    <w:p w14:paraId="650EA04E" w14:textId="77777777" w:rsidR="00AF3AFC" w:rsidRPr="00B12AD7" w:rsidRDefault="00AF3AFC" w:rsidP="00AF3AFC">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1"/>
        <w:gridCol w:w="3052"/>
      </w:tblGrid>
      <w:tr w:rsidR="00AF3AFC" w:rsidRPr="00B12AD7" w14:paraId="19AADFB1" w14:textId="77777777" w:rsidTr="00FE71EB">
        <w:trPr>
          <w:trHeight w:val="432"/>
          <w:tblCellSpacing w:w="15" w:type="dxa"/>
        </w:trPr>
        <w:tc>
          <w:tcPr>
            <w:tcW w:w="1356" w:type="dxa"/>
            <w:tcMar>
              <w:top w:w="15" w:type="dxa"/>
              <w:left w:w="480" w:type="dxa"/>
              <w:bottom w:w="15" w:type="dxa"/>
              <w:right w:w="240" w:type="dxa"/>
            </w:tcMar>
            <w:vAlign w:val="center"/>
          </w:tcPr>
          <w:p w14:paraId="7D28C96B"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Name</w:t>
            </w:r>
          </w:p>
        </w:tc>
        <w:tc>
          <w:tcPr>
            <w:tcW w:w="2762" w:type="dxa"/>
            <w:vAlign w:val="center"/>
          </w:tcPr>
          <w:p w14:paraId="20C3FC18"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Dr Christopher Lash</w:t>
            </w:r>
          </w:p>
        </w:tc>
      </w:tr>
      <w:tr w:rsidR="00AF3AFC" w:rsidRPr="00B12AD7" w14:paraId="226FD8DB" w14:textId="77777777" w:rsidTr="00FE71EB">
        <w:trPr>
          <w:trHeight w:val="432"/>
          <w:tblCellSpacing w:w="15" w:type="dxa"/>
        </w:trPr>
        <w:tc>
          <w:tcPr>
            <w:tcW w:w="1356" w:type="dxa"/>
            <w:tcMar>
              <w:top w:w="15" w:type="dxa"/>
              <w:left w:w="480" w:type="dxa"/>
              <w:bottom w:w="15" w:type="dxa"/>
              <w:right w:w="240" w:type="dxa"/>
            </w:tcMar>
            <w:vAlign w:val="center"/>
          </w:tcPr>
          <w:p w14:paraId="4B543AE7" w14:textId="77777777" w:rsidR="00AF3AFC" w:rsidRPr="00B12AD7" w:rsidRDefault="00AF3AFC"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E-mail</w:t>
            </w:r>
          </w:p>
        </w:tc>
        <w:tc>
          <w:tcPr>
            <w:tcW w:w="2762" w:type="dxa"/>
            <w:vAlign w:val="center"/>
          </w:tcPr>
          <w:p w14:paraId="79649332" w14:textId="77777777" w:rsidR="00AF3AFC" w:rsidRPr="00B12AD7" w:rsidRDefault="00AF3AFC" w:rsidP="00FE71EB">
            <w:pPr>
              <w:spacing w:line="276" w:lineRule="auto"/>
              <w:jc w:val="both"/>
              <w:rPr>
                <w:rFonts w:ascii="DINCE-Regular" w:hAnsi="DINCE-Regular"/>
                <w:color w:val="404040" w:themeColor="text1" w:themeTint="BF"/>
                <w:sz w:val="22"/>
                <w:szCs w:val="22"/>
                <w:lang w:val="en-GB" w:eastAsia="en-GB"/>
              </w:rPr>
            </w:pPr>
            <w:hyperlink r:id="rId5" w:history="1">
              <w:r w:rsidRPr="00B12AD7">
                <w:rPr>
                  <w:rStyle w:val="Hyperlink"/>
                  <w:rFonts w:ascii="DINCE-Regular" w:hAnsi="DINCE-Regular"/>
                  <w:color w:val="404040" w:themeColor="text1" w:themeTint="BF"/>
                  <w:sz w:val="22"/>
                  <w:szCs w:val="22"/>
                  <w:lang w:val="en-GB"/>
                </w:rPr>
                <w:t>christopherglash@yahoo.co.uk</w:t>
              </w:r>
            </w:hyperlink>
            <w:r w:rsidRPr="00B12AD7">
              <w:rPr>
                <w:rFonts w:ascii="DINCE-Regular" w:hAnsi="DINCE-Regular"/>
                <w:color w:val="404040" w:themeColor="text1" w:themeTint="BF"/>
                <w:sz w:val="22"/>
                <w:szCs w:val="22"/>
                <w:lang w:val="en-GB"/>
              </w:rPr>
              <w:t xml:space="preserve"> </w:t>
            </w:r>
          </w:p>
        </w:tc>
      </w:tr>
    </w:tbl>
    <w:p w14:paraId="37DF0E6B" w14:textId="77777777" w:rsidR="00AF3AFC" w:rsidRPr="00B12AD7" w:rsidRDefault="00AF3AFC" w:rsidP="00AF3AFC">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Length and month of examination</w:t>
      </w:r>
    </w:p>
    <w:p w14:paraId="0338F5F1" w14:textId="77777777" w:rsidR="00AF3AFC" w:rsidRPr="00B12AD7" w:rsidRDefault="00AF3AFC" w:rsidP="00AF3AFC">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120 minutes in June</w:t>
      </w:r>
    </w:p>
    <w:p w14:paraId="480A317B"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MS PMincho"/>
    <w:panose1 w:val="020B0604020202020204"/>
    <w:charset w:val="80"/>
    <w:family w:val="roman"/>
    <w:pitch w:val="variable"/>
  </w:font>
  <w:font w:name="WenQuanYi Micro Hei">
    <w:altName w:val="MS Mincho"/>
    <w:panose1 w:val="020B0604020202020204"/>
    <w:charset w:val="80"/>
    <w:family w:val="auto"/>
    <w:pitch w:val="variable"/>
  </w:font>
  <w:font w:name="Lohit Hindi">
    <w:altName w:val="MS Gothic"/>
    <w:panose1 w:val="020B0604020202020204"/>
    <w:charset w:val="80"/>
    <w:family w:val="auto"/>
    <w:pitch w:val="variable"/>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42050"/>
    <w:multiLevelType w:val="multilevel"/>
    <w:tmpl w:val="F90022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2BA1EF3"/>
    <w:multiLevelType w:val="hybridMultilevel"/>
    <w:tmpl w:val="1D72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924807">
    <w:abstractNumId w:val="0"/>
  </w:num>
  <w:num w:numId="2" w16cid:durableId="138235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FC"/>
    <w:rsid w:val="002F545A"/>
    <w:rsid w:val="00605D61"/>
    <w:rsid w:val="00A0510C"/>
    <w:rsid w:val="00AF3AF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260C4A51"/>
  <w15:chartTrackingRefBased/>
  <w15:docId w15:val="{D49F42A1-C1F3-2849-9F1A-D6409F69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AFC"/>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F3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F3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3A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A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A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A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A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A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A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F3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3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AFC"/>
    <w:rPr>
      <w:rFonts w:eastAsiaTheme="majorEastAsia" w:cstheme="majorBidi"/>
      <w:color w:val="272727" w:themeColor="text1" w:themeTint="D8"/>
    </w:rPr>
  </w:style>
  <w:style w:type="paragraph" w:styleId="Title">
    <w:name w:val="Title"/>
    <w:basedOn w:val="Normal"/>
    <w:next w:val="Normal"/>
    <w:link w:val="TitleChar"/>
    <w:uiPriority w:val="10"/>
    <w:qFormat/>
    <w:rsid w:val="00AF3A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A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A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3AFC"/>
    <w:rPr>
      <w:i/>
      <w:iCs/>
      <w:color w:val="404040" w:themeColor="text1" w:themeTint="BF"/>
    </w:rPr>
  </w:style>
  <w:style w:type="paragraph" w:styleId="ListParagraph">
    <w:name w:val="List Paragraph"/>
    <w:basedOn w:val="Normal"/>
    <w:uiPriority w:val="34"/>
    <w:qFormat/>
    <w:rsid w:val="00AF3AFC"/>
    <w:pPr>
      <w:ind w:left="720"/>
      <w:contextualSpacing/>
    </w:pPr>
  </w:style>
  <w:style w:type="character" w:styleId="IntenseEmphasis">
    <w:name w:val="Intense Emphasis"/>
    <w:basedOn w:val="DefaultParagraphFont"/>
    <w:uiPriority w:val="21"/>
    <w:qFormat/>
    <w:rsid w:val="00AF3AFC"/>
    <w:rPr>
      <w:i/>
      <w:iCs/>
      <w:color w:val="0F4761" w:themeColor="accent1" w:themeShade="BF"/>
    </w:rPr>
  </w:style>
  <w:style w:type="paragraph" w:styleId="IntenseQuote">
    <w:name w:val="Intense Quote"/>
    <w:basedOn w:val="Normal"/>
    <w:next w:val="Normal"/>
    <w:link w:val="IntenseQuoteChar"/>
    <w:uiPriority w:val="30"/>
    <w:qFormat/>
    <w:rsid w:val="00AF3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AFC"/>
    <w:rPr>
      <w:i/>
      <w:iCs/>
      <w:color w:val="0F4761" w:themeColor="accent1" w:themeShade="BF"/>
    </w:rPr>
  </w:style>
  <w:style w:type="character" w:styleId="IntenseReference">
    <w:name w:val="Intense Reference"/>
    <w:basedOn w:val="DefaultParagraphFont"/>
    <w:uiPriority w:val="32"/>
    <w:qFormat/>
    <w:rsid w:val="00AF3AFC"/>
    <w:rPr>
      <w:b/>
      <w:bCs/>
      <w:smallCaps/>
      <w:color w:val="0F4761" w:themeColor="accent1" w:themeShade="BF"/>
      <w:spacing w:val="5"/>
    </w:rPr>
  </w:style>
  <w:style w:type="character" w:styleId="Hyperlink">
    <w:name w:val="Hyperlink"/>
    <w:basedOn w:val="DefaultParagraphFont"/>
    <w:uiPriority w:val="99"/>
    <w:rsid w:val="00AF3AFC"/>
    <w:rPr>
      <w:color w:val="0000FF"/>
      <w:u w:val="single"/>
    </w:rPr>
  </w:style>
  <w:style w:type="paragraph" w:customStyle="1" w:styleId="1">
    <w:name w:val="Обычный (веб)1"/>
    <w:basedOn w:val="Normal"/>
    <w:rsid w:val="00AF3AFC"/>
    <w:pPr>
      <w:widowControl w:val="0"/>
      <w:suppressAutoHyphens/>
      <w:spacing w:before="28" w:after="28"/>
    </w:pPr>
    <w:rPr>
      <w:rFonts w:ascii="Liberation Serif" w:eastAsia="WenQuanYi Micro Hei" w:hAnsi="Liberation Serif" w:cs="Lohit Hindi"/>
      <w:kern w:val="1"/>
      <w:lang w:val="pl-PL"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ristopherglash@yahoo.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2025-08-22T14:05:00Z</dcterms:created>
  <dcterms:modified xsi:type="dcterms:W3CDTF">2025-08-22T14:06:00Z</dcterms:modified>
</cp:coreProperties>
</file>