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98DDF" w14:textId="6725CC21" w:rsidR="00F10F19" w:rsidRDefault="00F10F19" w:rsidP="00F10F19">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r w:rsidRPr="00F10F19">
        <w:rPr>
          <w:rFonts w:ascii="Arial" w:eastAsia="Arial" w:hAnsi="Arial" w:cs="Calibri Light"/>
          <w:color w:val="008080"/>
          <w:sz w:val="48"/>
          <w:szCs w:val="48"/>
          <w:lang w:val="en-US"/>
        </w:rPr>
        <w:t>Empire and State Violence</w:t>
      </w:r>
    </w:p>
    <w:p w14:paraId="3052FC0E" w14:textId="77777777" w:rsidR="00F10F19" w:rsidRPr="00F10F19" w:rsidRDefault="00F10F19" w:rsidP="00F10F19">
      <w:pPr>
        <w:widowControl w:val="0"/>
        <w:tabs>
          <w:tab w:val="left" w:pos="8593"/>
        </w:tabs>
        <w:autoSpaceDE w:val="0"/>
        <w:autoSpaceDN w:val="0"/>
        <w:spacing w:before="120" w:after="360"/>
        <w:ind w:right="196"/>
        <w:contextualSpacing/>
        <w:rPr>
          <w:rFonts w:ascii="Arial" w:eastAsia="Arial" w:hAnsi="Arial" w:cs="Calibri Light"/>
          <w:sz w:val="48"/>
          <w:szCs w:val="48"/>
          <w:lang w:val="en-US"/>
        </w:rPr>
      </w:pPr>
    </w:p>
    <w:tbl>
      <w:tblPr>
        <w:tblStyle w:val="TableGridLight1"/>
        <w:tblW w:w="5000" w:type="pct"/>
        <w:tblLayout w:type="fixed"/>
        <w:tblLook w:val="01E0" w:firstRow="1" w:lastRow="1" w:firstColumn="1" w:lastColumn="1" w:noHBand="0" w:noVBand="0"/>
      </w:tblPr>
      <w:tblGrid>
        <w:gridCol w:w="9010"/>
      </w:tblGrid>
      <w:tr w:rsidR="00F10F19" w:rsidRPr="00F10F19" w14:paraId="74A50C28" w14:textId="77777777" w:rsidTr="00F10F19">
        <w:trPr>
          <w:trHeight w:val="397"/>
        </w:trPr>
        <w:tc>
          <w:tcPr>
            <w:tcW w:w="5000" w:type="pct"/>
          </w:tcPr>
          <w:p w14:paraId="6C6187D6"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b/>
              </w:rPr>
              <w:t xml:space="preserve">Credit level: </w:t>
            </w:r>
            <w:r w:rsidRPr="00F10F19">
              <w:rPr>
                <w:rFonts w:ascii="Arial" w:eastAsia="Arial" w:hAnsi="Arial" w:cs="Arial"/>
                <w:bCs/>
              </w:rPr>
              <w:t>5</w:t>
            </w:r>
          </w:p>
        </w:tc>
      </w:tr>
      <w:tr w:rsidR="00F10F19" w:rsidRPr="00F10F19" w14:paraId="26CB2952" w14:textId="77777777" w:rsidTr="00F10F19">
        <w:trPr>
          <w:trHeight w:val="397"/>
        </w:trPr>
        <w:tc>
          <w:tcPr>
            <w:tcW w:w="5000" w:type="pct"/>
          </w:tcPr>
          <w:p w14:paraId="7AD05EA0" w14:textId="77777777" w:rsidR="00F10F19" w:rsidRPr="00F10F19" w:rsidRDefault="00F10F19" w:rsidP="00F10F19">
            <w:pPr>
              <w:spacing w:before="80" w:after="80"/>
              <w:contextualSpacing/>
              <w:rPr>
                <w:rFonts w:ascii="Arial" w:eastAsia="Arial" w:hAnsi="Arial" w:cs="Arial"/>
                <w:b/>
              </w:rPr>
            </w:pPr>
            <w:r w:rsidRPr="00F10F19">
              <w:rPr>
                <w:rFonts w:ascii="Arial" w:eastAsia="Arial" w:hAnsi="Arial" w:cs="Arial"/>
                <w:b/>
              </w:rPr>
              <w:t xml:space="preserve">Length: </w:t>
            </w:r>
            <w:r w:rsidRPr="00F10F19">
              <w:rPr>
                <w:rFonts w:ascii="Arial" w:eastAsia="Arial" w:hAnsi="Arial" w:cs="Arial"/>
                <w:bCs/>
              </w:rPr>
              <w:t xml:space="preserve">Semester 2 </w:t>
            </w:r>
            <w:r w:rsidRPr="00F10F19">
              <w:rPr>
                <w:rFonts w:ascii="Arial" w:eastAsia="Arial" w:hAnsi="Arial" w:cs="Arial"/>
              </w:rPr>
              <w:t xml:space="preserve"> </w:t>
            </w:r>
          </w:p>
        </w:tc>
      </w:tr>
      <w:tr w:rsidR="00F10F19" w:rsidRPr="00F10F19" w14:paraId="395CC3C2" w14:textId="77777777" w:rsidTr="00F10F19">
        <w:trPr>
          <w:trHeight w:val="397"/>
        </w:trPr>
        <w:tc>
          <w:tcPr>
            <w:tcW w:w="5000" w:type="pct"/>
          </w:tcPr>
          <w:p w14:paraId="58AE7F76" w14:textId="12023F2B" w:rsidR="00F10F19" w:rsidRPr="00F10F19" w:rsidRDefault="00F10F19" w:rsidP="00F10F19">
            <w:pPr>
              <w:spacing w:before="80" w:after="80"/>
              <w:contextualSpacing/>
              <w:rPr>
                <w:rFonts w:ascii="Arial" w:eastAsia="Arial" w:hAnsi="Arial" w:cs="Arial"/>
                <w:b/>
              </w:rPr>
            </w:pPr>
            <w:r w:rsidRPr="00F10F19">
              <w:rPr>
                <w:rFonts w:ascii="Arial" w:eastAsia="Arial" w:hAnsi="Arial" w:cs="Arial"/>
                <w:b/>
              </w:rPr>
              <w:t>ECTS credit value:</w:t>
            </w:r>
            <w:r>
              <w:rPr>
                <w:rFonts w:ascii="Arial" w:eastAsia="Arial" w:hAnsi="Arial" w:cs="Arial"/>
                <w:b/>
              </w:rPr>
              <w:t xml:space="preserve"> </w:t>
            </w:r>
            <w:r>
              <w:rPr>
                <w:rFonts w:ascii="Arial" w:eastAsia="Arial" w:hAnsi="Arial" w:cs="Arial"/>
                <w:bCs/>
              </w:rPr>
              <w:t>8</w:t>
            </w:r>
            <w:r w:rsidRPr="00F10F19">
              <w:rPr>
                <w:rFonts w:ascii="Arial" w:eastAsia="Arial" w:hAnsi="Arial" w:cs="Arial"/>
                <w:bCs/>
              </w:rPr>
              <w:t xml:space="preserve"> </w:t>
            </w:r>
          </w:p>
        </w:tc>
      </w:tr>
      <w:tr w:rsidR="00F10F19" w:rsidRPr="00F10F19" w14:paraId="35B1C5E4" w14:textId="77777777" w:rsidTr="00F10F19">
        <w:trPr>
          <w:trHeight w:val="397"/>
        </w:trPr>
        <w:tc>
          <w:tcPr>
            <w:tcW w:w="5000" w:type="pct"/>
          </w:tcPr>
          <w:p w14:paraId="36CEC6EA" w14:textId="77777777" w:rsidR="00F10F19" w:rsidRPr="00F10F19" w:rsidRDefault="00F10F19" w:rsidP="00F10F19">
            <w:pPr>
              <w:spacing w:before="192" w:after="80"/>
              <w:contextualSpacing/>
              <w:rPr>
                <w:rFonts w:ascii="Arial" w:eastAsia="Arial" w:hAnsi="Arial" w:cs="Arial"/>
              </w:rPr>
            </w:pPr>
            <w:r w:rsidRPr="00F10F19">
              <w:rPr>
                <w:rFonts w:ascii="Arial" w:eastAsia="Arial" w:hAnsi="Arial" w:cs="Arial"/>
                <w:b/>
              </w:rPr>
              <w:t xml:space="preserve">College and School: </w:t>
            </w:r>
            <w:r w:rsidRPr="00F10F19">
              <w:rPr>
                <w:rFonts w:ascii="Arial" w:eastAsia="Arial" w:hAnsi="Arial" w:cs="Arial"/>
                <w:bCs/>
              </w:rPr>
              <w:t xml:space="preserve">Lazarski University in Warsaw, Faculty of Economics and Management </w:t>
            </w:r>
          </w:p>
        </w:tc>
      </w:tr>
      <w:tr w:rsidR="00F10F19" w:rsidRPr="00F10F19" w14:paraId="56E05DEA" w14:textId="77777777" w:rsidTr="00F10F19">
        <w:trPr>
          <w:trHeight w:val="397"/>
        </w:trPr>
        <w:tc>
          <w:tcPr>
            <w:tcW w:w="5000" w:type="pct"/>
          </w:tcPr>
          <w:p w14:paraId="00018F3A" w14:textId="77777777" w:rsidR="00F10F19" w:rsidRPr="00F10F19" w:rsidRDefault="00F10F19" w:rsidP="00F10F19">
            <w:pPr>
              <w:spacing w:before="192" w:after="80"/>
              <w:contextualSpacing/>
              <w:rPr>
                <w:rFonts w:ascii="Arial" w:eastAsia="Arial" w:hAnsi="Arial" w:cs="Arial"/>
                <w:b/>
              </w:rPr>
            </w:pPr>
            <w:r w:rsidRPr="00F10F19">
              <w:rPr>
                <w:rFonts w:ascii="Arial" w:eastAsia="Arial" w:hAnsi="Arial" w:cs="Arial"/>
                <w:b/>
              </w:rPr>
              <w:t xml:space="preserve">Module Leader: </w:t>
            </w:r>
            <w:r w:rsidRPr="00F10F19">
              <w:rPr>
                <w:rFonts w:ascii="Arial" w:eastAsia="Arial" w:hAnsi="Arial" w:cs="Arial"/>
                <w:bCs/>
              </w:rPr>
              <w:t>Dr. Christopher Lash</w:t>
            </w:r>
            <w:r w:rsidRPr="00F10F19">
              <w:rPr>
                <w:rFonts w:ascii="Arial" w:eastAsia="Arial" w:hAnsi="Arial" w:cs="Arial"/>
                <w:b/>
              </w:rPr>
              <w:t xml:space="preserve"> </w:t>
            </w:r>
          </w:p>
        </w:tc>
      </w:tr>
      <w:tr w:rsidR="00F10F19" w:rsidRPr="00F10F19" w14:paraId="5770DC5D" w14:textId="77777777" w:rsidTr="00F10F19">
        <w:trPr>
          <w:trHeight w:val="397"/>
        </w:trPr>
        <w:tc>
          <w:tcPr>
            <w:tcW w:w="5000" w:type="pct"/>
          </w:tcPr>
          <w:p w14:paraId="787FBC89" w14:textId="77777777" w:rsidR="00F10F19" w:rsidRPr="00F10F19" w:rsidRDefault="00F10F19" w:rsidP="00F10F19">
            <w:pPr>
              <w:spacing w:before="80" w:after="80"/>
              <w:contextualSpacing/>
              <w:rPr>
                <w:rFonts w:ascii="Arial" w:eastAsia="Arial" w:hAnsi="Arial" w:cs="Arial"/>
                <w:b/>
                <w:bCs/>
              </w:rPr>
            </w:pPr>
            <w:r w:rsidRPr="00F10F19">
              <w:rPr>
                <w:rFonts w:ascii="Arial" w:eastAsia="Arial" w:hAnsi="Arial" w:cs="Arial"/>
                <w:b/>
                <w:bCs/>
              </w:rPr>
              <w:t xml:space="preserve">Host Course: </w:t>
            </w:r>
            <w:r w:rsidRPr="00F10F19">
              <w:rPr>
                <w:rFonts w:ascii="Arial" w:eastAsia="Arial" w:hAnsi="Arial" w:cs="Arial"/>
              </w:rPr>
              <w:t>BA International Relations</w:t>
            </w:r>
          </w:p>
        </w:tc>
      </w:tr>
      <w:tr w:rsidR="00F10F19" w:rsidRPr="00F10F19" w14:paraId="26051584" w14:textId="77777777" w:rsidTr="00F10F19">
        <w:trPr>
          <w:trHeight w:val="397"/>
        </w:trPr>
        <w:tc>
          <w:tcPr>
            <w:tcW w:w="5000" w:type="pct"/>
          </w:tcPr>
          <w:p w14:paraId="72E06810" w14:textId="77777777" w:rsidR="00F10F19" w:rsidRPr="00F10F19" w:rsidRDefault="00F10F19" w:rsidP="00F10F19">
            <w:pPr>
              <w:spacing w:before="80" w:after="80"/>
              <w:contextualSpacing/>
              <w:rPr>
                <w:rFonts w:ascii="Arial" w:eastAsia="Arial" w:hAnsi="Arial" w:cs="Arial"/>
                <w:b/>
              </w:rPr>
            </w:pPr>
            <w:r w:rsidRPr="00F10F19">
              <w:rPr>
                <w:rFonts w:ascii="Arial" w:eastAsia="Arial" w:hAnsi="Arial" w:cs="Arial"/>
                <w:b/>
              </w:rPr>
              <w:t xml:space="preserve">Pre-requisites: </w:t>
            </w:r>
            <w:r w:rsidRPr="00F10F19">
              <w:rPr>
                <w:rFonts w:ascii="Arial" w:eastAsia="Arial" w:hAnsi="Arial" w:cs="Arial"/>
                <w:bCs/>
              </w:rPr>
              <w:t>N/A</w:t>
            </w:r>
          </w:p>
        </w:tc>
      </w:tr>
      <w:tr w:rsidR="00F10F19" w:rsidRPr="00F10F19" w14:paraId="0FE95FC5" w14:textId="77777777" w:rsidTr="00F10F19">
        <w:trPr>
          <w:trHeight w:val="397"/>
        </w:trPr>
        <w:tc>
          <w:tcPr>
            <w:tcW w:w="5000" w:type="pct"/>
          </w:tcPr>
          <w:p w14:paraId="2C172B6B" w14:textId="77777777" w:rsidR="00F10F19" w:rsidRPr="00F10F19" w:rsidRDefault="00F10F19" w:rsidP="00F10F19">
            <w:pPr>
              <w:spacing w:before="80" w:after="80"/>
              <w:contextualSpacing/>
              <w:rPr>
                <w:rFonts w:ascii="Arial" w:eastAsia="Arial" w:hAnsi="Arial" w:cs="Arial"/>
                <w:b/>
              </w:rPr>
            </w:pPr>
            <w:r w:rsidRPr="00F10F19">
              <w:rPr>
                <w:rFonts w:ascii="Arial" w:eastAsia="Arial" w:hAnsi="Arial" w:cs="Arial"/>
                <w:b/>
              </w:rPr>
              <w:t xml:space="preserve">Co-requisites: </w:t>
            </w:r>
            <w:r w:rsidRPr="00F10F19">
              <w:rPr>
                <w:rFonts w:ascii="Arial" w:eastAsia="Arial" w:hAnsi="Arial" w:cs="Arial"/>
                <w:bCs/>
              </w:rPr>
              <w:t>N/A</w:t>
            </w:r>
          </w:p>
        </w:tc>
      </w:tr>
      <w:tr w:rsidR="00F10F19" w:rsidRPr="00F10F19" w14:paraId="784A5433" w14:textId="77777777" w:rsidTr="00F10F19">
        <w:trPr>
          <w:trHeight w:val="397"/>
        </w:trPr>
        <w:tc>
          <w:tcPr>
            <w:tcW w:w="5000" w:type="pct"/>
          </w:tcPr>
          <w:p w14:paraId="2E0B084E" w14:textId="77777777" w:rsidR="00F10F19" w:rsidRPr="00F10F19" w:rsidRDefault="00F10F19" w:rsidP="00F10F19">
            <w:pPr>
              <w:spacing w:before="80" w:after="80"/>
              <w:contextualSpacing/>
              <w:rPr>
                <w:rFonts w:ascii="Arial" w:eastAsia="Arial" w:hAnsi="Arial" w:cs="Arial"/>
                <w:b/>
              </w:rPr>
            </w:pPr>
            <w:r w:rsidRPr="00F10F19">
              <w:rPr>
                <w:rFonts w:ascii="Arial" w:eastAsia="Arial" w:hAnsi="Arial" w:cs="Arial"/>
                <w:b/>
              </w:rPr>
              <w:t>Special features:</w:t>
            </w:r>
            <w:r w:rsidRPr="00F10F19">
              <w:rPr>
                <w:rFonts w:ascii="Arial" w:eastAsia="Arial" w:hAnsi="Arial" w:cs="Arial"/>
                <w:i/>
                <w:bdr w:val="none" w:sz="0" w:space="0" w:color="auto" w:frame="1"/>
              </w:rPr>
              <w:t xml:space="preserve"> </w:t>
            </w:r>
            <w:r w:rsidRPr="00F10F19">
              <w:rPr>
                <w:rFonts w:ascii="Arial" w:eastAsia="Arial" w:hAnsi="Arial" w:cs="Arial"/>
                <w:bCs/>
              </w:rPr>
              <w:t>N/A</w:t>
            </w:r>
          </w:p>
        </w:tc>
      </w:tr>
      <w:tr w:rsidR="00F10F19" w:rsidRPr="00F10F19" w14:paraId="0120F6F2" w14:textId="77777777" w:rsidTr="00F10F19">
        <w:trPr>
          <w:trHeight w:val="397"/>
        </w:trPr>
        <w:tc>
          <w:tcPr>
            <w:tcW w:w="5000" w:type="pct"/>
          </w:tcPr>
          <w:p w14:paraId="568D2DC0" w14:textId="77777777" w:rsidR="00F10F19" w:rsidRPr="00F10F19" w:rsidRDefault="00F10F19" w:rsidP="00F10F19">
            <w:pPr>
              <w:spacing w:before="80" w:after="80"/>
              <w:contextualSpacing/>
              <w:rPr>
                <w:rFonts w:ascii="Arial" w:eastAsia="Arial" w:hAnsi="Arial" w:cs="Arial"/>
                <w:b/>
              </w:rPr>
            </w:pPr>
            <w:r w:rsidRPr="00F10F19">
              <w:rPr>
                <w:rFonts w:ascii="Arial" w:eastAsia="Arial" w:hAnsi="Arial" w:cs="Arial"/>
                <w:b/>
              </w:rPr>
              <w:t>Access restrictions:</w:t>
            </w:r>
            <w:r w:rsidRPr="00F10F19">
              <w:rPr>
                <w:rFonts w:ascii="Arial" w:eastAsia="Arial" w:hAnsi="Arial" w:cs="Arial"/>
                <w:i/>
                <w:bdr w:val="none" w:sz="0" w:space="0" w:color="auto" w:frame="1"/>
              </w:rPr>
              <w:t xml:space="preserve"> </w:t>
            </w:r>
            <w:r w:rsidRPr="00F10F19">
              <w:rPr>
                <w:rFonts w:ascii="Arial" w:eastAsia="Arial" w:hAnsi="Arial" w:cs="Arial"/>
                <w:bCs/>
              </w:rPr>
              <w:t>N/A</w:t>
            </w:r>
          </w:p>
        </w:tc>
      </w:tr>
      <w:tr w:rsidR="00F10F19" w:rsidRPr="00F10F19" w14:paraId="1C5E9D22" w14:textId="77777777" w:rsidTr="00F10F19">
        <w:trPr>
          <w:trHeight w:val="397"/>
        </w:trPr>
        <w:tc>
          <w:tcPr>
            <w:tcW w:w="5000" w:type="pct"/>
          </w:tcPr>
          <w:p w14:paraId="46894D13" w14:textId="77777777" w:rsidR="00F10F19" w:rsidRPr="00F10F19" w:rsidRDefault="00F10F19" w:rsidP="00F10F19">
            <w:pPr>
              <w:spacing w:after="120"/>
              <w:contextualSpacing/>
              <w:jc w:val="both"/>
              <w:rPr>
                <w:rFonts w:ascii="Times New Roman" w:eastAsia="Times New Roman" w:hAnsi="Times New Roman" w:cs="Times New Roman"/>
              </w:rPr>
            </w:pPr>
            <w:r w:rsidRPr="00F10F19">
              <w:rPr>
                <w:rFonts w:ascii="Arial" w:eastAsia="Arial" w:hAnsi="Arial" w:cs="Arial"/>
                <w:b/>
                <w:bCs/>
              </w:rPr>
              <w:t xml:space="preserve">Summary of module content: </w:t>
            </w:r>
            <w:r w:rsidRPr="00F10F19">
              <w:rPr>
                <w:rFonts w:ascii="Arial" w:eastAsia="Times New Roman" w:hAnsi="Arial" w:cs="Arial"/>
              </w:rPr>
              <w:t xml:space="preserve">This module deals with historical and contemporary examples of the ways that Empires operate and violence that states have instituted on their citizens, especially those of different ethnic identities. The first part of the </w:t>
            </w:r>
            <w:r w:rsidRPr="00F10F19">
              <w:rPr>
                <w:rFonts w:ascii="Arial" w:eastAsia="Arial" w:hAnsi="Arial" w:cs="Arial"/>
              </w:rPr>
              <w:t>module</w:t>
            </w:r>
            <w:r w:rsidRPr="00F10F19">
              <w:rPr>
                <w:rFonts w:ascii="Arial" w:eastAsia="Times New Roman" w:hAnsi="Arial" w:cs="Arial"/>
              </w:rPr>
              <w:t xml:space="preserve"> focuses on empire as a theoretical construct, its historical precedents, its legacies and the actions of states which could be considered to act imperially. The second part of the </w:t>
            </w:r>
            <w:r w:rsidRPr="00F10F19">
              <w:rPr>
                <w:rFonts w:ascii="Arial" w:eastAsia="Arial" w:hAnsi="Arial" w:cs="Arial"/>
              </w:rPr>
              <w:t>module</w:t>
            </w:r>
            <w:r w:rsidRPr="00F10F19">
              <w:rPr>
                <w:rFonts w:ascii="Arial" w:eastAsia="Times New Roman" w:hAnsi="Arial" w:cs="Arial"/>
              </w:rPr>
              <w:t xml:space="preserve"> looks at examples of extreme cases of violence (ethnic cleansing and genocide) carried out by states and sub-state bodies from both a theoretical and case study perspective.</w:t>
            </w:r>
          </w:p>
        </w:tc>
      </w:tr>
    </w:tbl>
    <w:p w14:paraId="74BEE2E9" w14:textId="77777777" w:rsidR="00F10F19" w:rsidRPr="00F10F19" w:rsidRDefault="00F10F19" w:rsidP="00F10F19">
      <w:pPr>
        <w:widowControl w:val="0"/>
        <w:autoSpaceDE w:val="0"/>
        <w:autoSpaceDN w:val="0"/>
        <w:spacing w:after="120"/>
        <w:contextualSpacing/>
        <w:rPr>
          <w:rFonts w:ascii="Arial" w:eastAsia="Arial" w:hAnsi="Arial" w:cs="Arial"/>
          <w:b/>
          <w:bCs/>
          <w:sz w:val="32"/>
          <w:szCs w:val="33"/>
          <w:lang w:val="en-US"/>
        </w:rPr>
      </w:pPr>
      <w:r w:rsidRPr="00F10F19">
        <w:rPr>
          <w:rFonts w:ascii="Arial" w:eastAsia="Arial" w:hAnsi="Arial" w:cs="Arial"/>
          <w:sz w:val="22"/>
          <w:szCs w:val="22"/>
          <w:lang w:val="en-US"/>
        </w:rPr>
        <w:br w:type="page"/>
      </w:r>
    </w:p>
    <w:p w14:paraId="5A14025F" w14:textId="77777777" w:rsidR="00F10F19" w:rsidRPr="00F10F19" w:rsidRDefault="00F10F19" w:rsidP="00F10F19">
      <w:pPr>
        <w:widowControl w:val="0"/>
        <w:autoSpaceDE w:val="0"/>
        <w:autoSpaceDN w:val="0"/>
        <w:spacing w:before="240" w:after="240"/>
        <w:outlineLvl w:val="0"/>
        <w:rPr>
          <w:rFonts w:ascii="Arial" w:eastAsia="Arial" w:hAnsi="Arial" w:cs="Arial"/>
          <w:b/>
          <w:bCs/>
          <w:sz w:val="32"/>
          <w:szCs w:val="36"/>
          <w:lang w:val="en-US"/>
        </w:rPr>
      </w:pPr>
      <w:r w:rsidRPr="00F10F19">
        <w:rPr>
          <w:rFonts w:ascii="Arial" w:eastAsia="Arial" w:hAnsi="Arial" w:cs="Arial"/>
          <w:b/>
          <w:bCs/>
          <w:sz w:val="32"/>
          <w:szCs w:val="36"/>
          <w:lang w:val="en-US"/>
        </w:rPr>
        <w:lastRenderedPageBreak/>
        <w:t>Assessment Methods</w:t>
      </w:r>
    </w:p>
    <w:p w14:paraId="4CABEEC5" w14:textId="77777777" w:rsidR="00F10F19" w:rsidRPr="00F10F19" w:rsidRDefault="00F10F19" w:rsidP="00F10F19">
      <w:pPr>
        <w:widowControl w:val="0"/>
        <w:autoSpaceDE w:val="0"/>
        <w:autoSpaceDN w:val="0"/>
        <w:spacing w:before="240" w:after="240"/>
        <w:outlineLvl w:val="0"/>
        <w:rPr>
          <w:rFonts w:ascii="Arial" w:eastAsia="Arial" w:hAnsi="Arial" w:cs="Arial"/>
          <w:i/>
          <w:iCs/>
          <w:sz w:val="22"/>
          <w:szCs w:val="22"/>
          <w:shd w:val="clear" w:color="auto" w:fill="FFFFFF"/>
          <w:lang w:val="en-US"/>
        </w:rPr>
      </w:pPr>
    </w:p>
    <w:tbl>
      <w:tblPr>
        <w:tblStyle w:val="GridTable1Light1"/>
        <w:tblW w:w="8642" w:type="dxa"/>
        <w:tblLayout w:type="fixed"/>
        <w:tblCellMar>
          <w:top w:w="28" w:type="dxa"/>
          <w:left w:w="85" w:type="dxa"/>
          <w:bottom w:w="28" w:type="dxa"/>
          <w:right w:w="85" w:type="dxa"/>
        </w:tblCellMar>
        <w:tblLook w:val="06A0" w:firstRow="1" w:lastRow="0" w:firstColumn="1" w:lastColumn="0" w:noHBand="1" w:noVBand="1"/>
      </w:tblPr>
      <w:tblGrid>
        <w:gridCol w:w="846"/>
        <w:gridCol w:w="1559"/>
        <w:gridCol w:w="2126"/>
        <w:gridCol w:w="1418"/>
        <w:gridCol w:w="2693"/>
      </w:tblGrid>
      <w:tr w:rsidR="00F10F19" w:rsidRPr="00F10F19" w14:paraId="5D20F9D6" w14:textId="77777777" w:rsidTr="00FE71E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 w:type="dxa"/>
          </w:tcPr>
          <w:p w14:paraId="7AF3E9DC" w14:textId="77777777" w:rsidR="00F10F19" w:rsidRPr="00F10F19" w:rsidRDefault="00F10F19" w:rsidP="00F10F19">
            <w:pPr>
              <w:spacing w:after="80"/>
              <w:contextualSpacing/>
              <w:rPr>
                <w:rFonts w:ascii="Arial" w:eastAsia="Arial" w:hAnsi="Arial" w:cs="Arial"/>
                <w:sz w:val="23"/>
                <w:szCs w:val="23"/>
              </w:rPr>
            </w:pPr>
            <w:r w:rsidRPr="00F10F19">
              <w:rPr>
                <w:rFonts w:ascii="Arial" w:eastAsia="Arial" w:hAnsi="Arial" w:cs="Arial"/>
                <w:sz w:val="23"/>
                <w:szCs w:val="23"/>
              </w:rPr>
              <w:t>Rank</w:t>
            </w:r>
          </w:p>
        </w:tc>
        <w:tc>
          <w:tcPr>
            <w:tcW w:w="1559" w:type="dxa"/>
          </w:tcPr>
          <w:p w14:paraId="7A5F8525" w14:textId="77777777" w:rsidR="00F10F19" w:rsidRPr="00F10F19" w:rsidRDefault="00F10F19" w:rsidP="00F10F19">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F10F19">
              <w:rPr>
                <w:rFonts w:ascii="Arial" w:eastAsia="Arial" w:hAnsi="Arial" w:cs="Arial"/>
                <w:sz w:val="23"/>
                <w:szCs w:val="23"/>
              </w:rPr>
              <w:t>Assessment type</w:t>
            </w:r>
          </w:p>
        </w:tc>
        <w:tc>
          <w:tcPr>
            <w:tcW w:w="2126" w:type="dxa"/>
          </w:tcPr>
          <w:p w14:paraId="3D83CFC2" w14:textId="77777777" w:rsidR="00F10F19" w:rsidRPr="00F10F19" w:rsidRDefault="00F10F19" w:rsidP="00F10F19">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F10F19">
              <w:rPr>
                <w:rFonts w:ascii="Arial" w:eastAsia="Arial" w:hAnsi="Arial" w:cs="Arial"/>
                <w:sz w:val="23"/>
                <w:szCs w:val="23"/>
              </w:rPr>
              <w:t>Assessment name</w:t>
            </w:r>
          </w:p>
        </w:tc>
        <w:tc>
          <w:tcPr>
            <w:tcW w:w="1418" w:type="dxa"/>
          </w:tcPr>
          <w:p w14:paraId="04C60DF0" w14:textId="77777777" w:rsidR="00F10F19" w:rsidRPr="00F10F19" w:rsidRDefault="00F10F19" w:rsidP="00F10F19">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F10F19">
              <w:rPr>
                <w:rFonts w:ascii="Arial" w:eastAsia="Arial" w:hAnsi="Arial" w:cs="Arial"/>
                <w:sz w:val="23"/>
                <w:szCs w:val="23"/>
              </w:rPr>
              <w:t>Weighting</w:t>
            </w:r>
          </w:p>
        </w:tc>
        <w:tc>
          <w:tcPr>
            <w:tcW w:w="2693" w:type="dxa"/>
          </w:tcPr>
          <w:p w14:paraId="3D11561A" w14:textId="77777777" w:rsidR="00F10F19" w:rsidRPr="00F10F19" w:rsidRDefault="00F10F19" w:rsidP="00F10F19">
            <w:pPr>
              <w:spacing w:after="80"/>
              <w:ind w:left="81" w:right="5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sz w:val="23"/>
                <w:szCs w:val="23"/>
              </w:rPr>
            </w:pPr>
            <w:r w:rsidRPr="00F10F19">
              <w:rPr>
                <w:rFonts w:ascii="Arial" w:eastAsia="Arial" w:hAnsi="Arial" w:cs="Arial"/>
                <w:sz w:val="23"/>
                <w:szCs w:val="23"/>
              </w:rPr>
              <w:t>Qualifying set</w:t>
            </w:r>
            <w:r w:rsidRPr="00F10F19">
              <w:rPr>
                <w:rFonts w:ascii="Arial" w:eastAsia="Arial" w:hAnsi="Arial" w:cs="Arial"/>
                <w:spacing w:val="1"/>
                <w:sz w:val="23"/>
                <w:szCs w:val="23"/>
              </w:rPr>
              <w:t xml:space="preserve"> </w:t>
            </w:r>
            <w:r w:rsidRPr="00F10F19">
              <w:rPr>
                <w:rFonts w:ascii="Arial" w:eastAsia="Arial" w:hAnsi="Arial" w:cs="Arial"/>
                <w:sz w:val="23"/>
                <w:szCs w:val="23"/>
              </w:rPr>
              <w:t>(where the</w:t>
            </w:r>
            <w:r w:rsidRPr="00F10F19">
              <w:rPr>
                <w:rFonts w:ascii="Arial" w:eastAsia="Arial" w:hAnsi="Arial" w:cs="Arial"/>
                <w:spacing w:val="1"/>
                <w:sz w:val="23"/>
                <w:szCs w:val="23"/>
              </w:rPr>
              <w:t xml:space="preserve"> </w:t>
            </w:r>
            <w:r w:rsidRPr="00F10F19">
              <w:rPr>
                <w:rFonts w:ascii="Arial" w:eastAsia="Arial" w:hAnsi="Arial" w:cs="Arial"/>
                <w:sz w:val="23"/>
                <w:szCs w:val="23"/>
              </w:rPr>
              <w:t>minimum mark</w:t>
            </w:r>
            <w:r w:rsidRPr="00F10F19">
              <w:rPr>
                <w:rFonts w:ascii="Arial" w:eastAsia="Arial" w:hAnsi="Arial" w:cs="Arial"/>
                <w:spacing w:val="1"/>
                <w:sz w:val="23"/>
                <w:szCs w:val="23"/>
              </w:rPr>
              <w:t xml:space="preserve"> </w:t>
            </w:r>
            <w:r w:rsidRPr="00F10F19">
              <w:rPr>
                <w:rFonts w:ascii="Arial" w:eastAsia="Arial" w:hAnsi="Arial" w:cs="Arial"/>
                <w:sz w:val="23"/>
                <w:szCs w:val="23"/>
              </w:rPr>
              <w:t>required applies across multiple</w:t>
            </w:r>
            <w:r w:rsidRPr="00F10F19">
              <w:rPr>
                <w:rFonts w:ascii="Arial" w:eastAsia="Arial" w:hAnsi="Arial" w:cs="Arial"/>
                <w:spacing w:val="1"/>
                <w:sz w:val="23"/>
                <w:szCs w:val="23"/>
              </w:rPr>
              <w:t xml:space="preserve"> </w:t>
            </w:r>
            <w:r w:rsidRPr="00F10F19">
              <w:rPr>
                <w:rFonts w:ascii="Arial" w:eastAsia="Arial" w:hAnsi="Arial" w:cs="Arial"/>
                <w:sz w:val="23"/>
                <w:szCs w:val="23"/>
              </w:rPr>
              <w:t>assessments)</w:t>
            </w:r>
          </w:p>
        </w:tc>
      </w:tr>
      <w:tr w:rsidR="00F10F19" w:rsidRPr="00F10F19" w14:paraId="37098D45"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551D7124" w14:textId="77777777" w:rsidR="00F10F19" w:rsidRPr="00F10F19" w:rsidRDefault="00F10F19" w:rsidP="00F10F19">
            <w:pPr>
              <w:spacing w:after="80"/>
              <w:contextualSpacing/>
              <w:rPr>
                <w:rFonts w:ascii="Arial" w:eastAsia="Arial" w:hAnsi="Arial" w:cs="Arial"/>
              </w:rPr>
            </w:pPr>
            <w:r w:rsidRPr="00F10F19">
              <w:rPr>
                <w:rFonts w:ascii="Arial" w:eastAsia="Arial" w:hAnsi="Arial" w:cs="Arial"/>
              </w:rPr>
              <w:t>1</w:t>
            </w:r>
          </w:p>
        </w:tc>
        <w:tc>
          <w:tcPr>
            <w:tcW w:w="1559" w:type="dxa"/>
          </w:tcPr>
          <w:p w14:paraId="658A4938" w14:textId="77777777" w:rsidR="00F10F19" w:rsidRPr="00F10F19" w:rsidRDefault="00F10F19" w:rsidP="00F10F19">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Essay</w:t>
            </w:r>
          </w:p>
        </w:tc>
        <w:tc>
          <w:tcPr>
            <w:tcW w:w="2126" w:type="dxa"/>
          </w:tcPr>
          <w:p w14:paraId="0527CCB4" w14:textId="77777777" w:rsidR="00F10F19" w:rsidRPr="00F10F19" w:rsidRDefault="00F10F19" w:rsidP="00F10F19">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Essay (empire)</w:t>
            </w:r>
          </w:p>
        </w:tc>
        <w:tc>
          <w:tcPr>
            <w:tcW w:w="1418" w:type="dxa"/>
          </w:tcPr>
          <w:p w14:paraId="62E4C352" w14:textId="77777777" w:rsidR="00F10F19" w:rsidRPr="00F10F19" w:rsidRDefault="00F10F19" w:rsidP="00F10F19">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30%</w:t>
            </w:r>
          </w:p>
        </w:tc>
        <w:tc>
          <w:tcPr>
            <w:tcW w:w="2693" w:type="dxa"/>
            <w:vMerge w:val="restart"/>
          </w:tcPr>
          <w:p w14:paraId="7D2607E3" w14:textId="77777777" w:rsidR="00F10F19" w:rsidRPr="00F10F19" w:rsidRDefault="00F10F19" w:rsidP="00F10F19">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F10F19" w:rsidRPr="00F10F19" w14:paraId="1E223DE9"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047D6903" w14:textId="77777777" w:rsidR="00F10F19" w:rsidRPr="00F10F19" w:rsidRDefault="00F10F19" w:rsidP="00F10F19">
            <w:pPr>
              <w:spacing w:after="80"/>
              <w:contextualSpacing/>
              <w:rPr>
                <w:rFonts w:ascii="Arial" w:eastAsia="Arial" w:hAnsi="Arial" w:cs="Arial"/>
              </w:rPr>
            </w:pPr>
            <w:r w:rsidRPr="00F10F19">
              <w:rPr>
                <w:rFonts w:ascii="Arial" w:eastAsia="Arial" w:hAnsi="Arial" w:cs="Arial"/>
              </w:rPr>
              <w:t>2</w:t>
            </w:r>
          </w:p>
        </w:tc>
        <w:tc>
          <w:tcPr>
            <w:tcW w:w="1559" w:type="dxa"/>
          </w:tcPr>
          <w:p w14:paraId="5A323C81" w14:textId="77777777" w:rsidR="00F10F19" w:rsidRPr="00F10F19" w:rsidRDefault="00F10F19" w:rsidP="00F10F19">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Presentation</w:t>
            </w:r>
          </w:p>
        </w:tc>
        <w:tc>
          <w:tcPr>
            <w:tcW w:w="2126" w:type="dxa"/>
          </w:tcPr>
          <w:p w14:paraId="54480557" w14:textId="77777777" w:rsidR="00F10F19" w:rsidRPr="00F10F19" w:rsidRDefault="00F10F19" w:rsidP="00F10F19">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In-class PP presentation (state violence and ethnic cleansing)</w:t>
            </w:r>
          </w:p>
        </w:tc>
        <w:tc>
          <w:tcPr>
            <w:tcW w:w="1418" w:type="dxa"/>
          </w:tcPr>
          <w:p w14:paraId="6A01CAB2" w14:textId="77777777" w:rsidR="00F10F19" w:rsidRPr="00F10F19" w:rsidRDefault="00F10F19" w:rsidP="00F10F19">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30%</w:t>
            </w:r>
          </w:p>
        </w:tc>
        <w:tc>
          <w:tcPr>
            <w:tcW w:w="2693" w:type="dxa"/>
            <w:vMerge/>
          </w:tcPr>
          <w:p w14:paraId="61CA04AD" w14:textId="77777777" w:rsidR="00F10F19" w:rsidRPr="00F10F19" w:rsidRDefault="00F10F19" w:rsidP="00F10F19">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p>
        </w:tc>
      </w:tr>
      <w:tr w:rsidR="00F10F19" w:rsidRPr="00F10F19" w14:paraId="5A38825F"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22ADDE0D" w14:textId="77777777" w:rsidR="00F10F19" w:rsidRPr="00F10F19" w:rsidRDefault="00F10F19" w:rsidP="00F10F19">
            <w:pPr>
              <w:spacing w:after="80"/>
              <w:contextualSpacing/>
              <w:rPr>
                <w:rFonts w:ascii="Arial" w:eastAsia="Arial" w:hAnsi="Arial" w:cs="Arial"/>
              </w:rPr>
            </w:pPr>
            <w:r w:rsidRPr="00F10F19">
              <w:rPr>
                <w:rFonts w:ascii="Arial" w:eastAsia="Arial" w:hAnsi="Arial" w:cs="Arial"/>
              </w:rPr>
              <w:t>3</w:t>
            </w:r>
          </w:p>
        </w:tc>
        <w:tc>
          <w:tcPr>
            <w:tcW w:w="1559" w:type="dxa"/>
          </w:tcPr>
          <w:p w14:paraId="032C5A5D" w14:textId="77777777" w:rsidR="00F10F19" w:rsidRPr="00F10F19" w:rsidRDefault="00F10F19" w:rsidP="00F10F19">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Closed Book Exam</w:t>
            </w:r>
          </w:p>
        </w:tc>
        <w:tc>
          <w:tcPr>
            <w:tcW w:w="2126" w:type="dxa"/>
          </w:tcPr>
          <w:p w14:paraId="579359C1" w14:textId="77777777" w:rsidR="00F10F19" w:rsidRPr="00F10F19" w:rsidRDefault="00F10F19" w:rsidP="00F10F19">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Final exam</w:t>
            </w:r>
          </w:p>
        </w:tc>
        <w:tc>
          <w:tcPr>
            <w:tcW w:w="1418" w:type="dxa"/>
          </w:tcPr>
          <w:p w14:paraId="4AE73541" w14:textId="77777777" w:rsidR="00F10F19" w:rsidRPr="00F10F19" w:rsidRDefault="00F10F19" w:rsidP="00F10F19">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40%</w:t>
            </w:r>
          </w:p>
        </w:tc>
        <w:tc>
          <w:tcPr>
            <w:tcW w:w="2693" w:type="dxa"/>
            <w:vMerge/>
          </w:tcPr>
          <w:p w14:paraId="22F2DDED" w14:textId="77777777" w:rsidR="00F10F19" w:rsidRPr="00F10F19" w:rsidRDefault="00F10F19" w:rsidP="00F10F19">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p>
        </w:tc>
      </w:tr>
    </w:tbl>
    <w:p w14:paraId="44EE55F8" w14:textId="77777777" w:rsidR="00F10F19" w:rsidRPr="00F10F19" w:rsidRDefault="00F10F19" w:rsidP="00F10F19">
      <w:pPr>
        <w:widowControl w:val="0"/>
        <w:autoSpaceDE w:val="0"/>
        <w:autoSpaceDN w:val="0"/>
        <w:spacing w:before="240" w:after="240"/>
        <w:outlineLvl w:val="0"/>
        <w:rPr>
          <w:rFonts w:ascii="Arial" w:eastAsia="Arial" w:hAnsi="Arial" w:cs="Arial"/>
          <w:b/>
          <w:bCs/>
          <w:sz w:val="32"/>
          <w:szCs w:val="36"/>
          <w:lang w:val="en-US"/>
        </w:rPr>
      </w:pPr>
      <w:r w:rsidRPr="00F10F19">
        <w:rPr>
          <w:rFonts w:ascii="Arial" w:eastAsia="Arial" w:hAnsi="Arial" w:cs="Arial"/>
          <w:b/>
          <w:bCs/>
          <w:sz w:val="32"/>
          <w:szCs w:val="36"/>
          <w:lang w:val="en-US"/>
        </w:rPr>
        <w:t>Synoptic</w:t>
      </w:r>
      <w:r w:rsidRPr="00F10F19">
        <w:rPr>
          <w:rFonts w:ascii="Arial" w:eastAsia="Arial" w:hAnsi="Arial" w:cs="Arial"/>
          <w:b/>
          <w:bCs/>
          <w:spacing w:val="29"/>
          <w:sz w:val="32"/>
          <w:szCs w:val="36"/>
          <w:lang w:val="en-US"/>
        </w:rPr>
        <w:t xml:space="preserve"> </w:t>
      </w:r>
      <w:r w:rsidRPr="00F10F19">
        <w:rPr>
          <w:rFonts w:ascii="Arial" w:eastAsia="Arial" w:hAnsi="Arial" w:cs="Arial"/>
          <w:b/>
          <w:bCs/>
          <w:sz w:val="32"/>
          <w:szCs w:val="36"/>
          <w:lang w:val="en-US"/>
        </w:rPr>
        <w:t>assessment</w:t>
      </w:r>
    </w:p>
    <w:p w14:paraId="0664F4AC" w14:textId="77777777" w:rsidR="00F10F19" w:rsidRPr="00F10F19" w:rsidRDefault="00F10F19" w:rsidP="00F10F19">
      <w:pPr>
        <w:widowControl w:val="0"/>
        <w:autoSpaceDE w:val="0"/>
        <w:autoSpaceDN w:val="0"/>
        <w:spacing w:before="240" w:after="240"/>
        <w:outlineLvl w:val="0"/>
        <w:rPr>
          <w:rFonts w:ascii="Arial" w:eastAsia="Arial" w:hAnsi="Arial" w:cs="Arial"/>
          <w:bCs/>
          <w:i/>
          <w:iCs/>
          <w:sz w:val="32"/>
          <w:szCs w:val="32"/>
          <w:shd w:val="clear" w:color="auto" w:fill="FFFFFF"/>
          <w:lang w:val="en-US"/>
        </w:rPr>
      </w:pPr>
      <w:r w:rsidRPr="00F10F19">
        <w:rPr>
          <w:rFonts w:ascii="Arial" w:eastAsia="Arial" w:hAnsi="Arial" w:cs="Arial"/>
          <w:bCs/>
          <w:sz w:val="22"/>
          <w:szCs w:val="36"/>
          <w:lang w:val="en-US"/>
        </w:rPr>
        <w:t>N/A</w:t>
      </w:r>
    </w:p>
    <w:p w14:paraId="6A0B1B56" w14:textId="77777777" w:rsidR="00F10F19" w:rsidRPr="00F10F19" w:rsidRDefault="00F10F19" w:rsidP="00F10F19">
      <w:pPr>
        <w:widowControl w:val="0"/>
        <w:autoSpaceDE w:val="0"/>
        <w:autoSpaceDN w:val="0"/>
        <w:spacing w:before="240" w:after="240"/>
        <w:outlineLvl w:val="0"/>
        <w:rPr>
          <w:rFonts w:ascii="Arial" w:eastAsia="Arial" w:hAnsi="Arial" w:cs="Arial"/>
          <w:b/>
          <w:bCs/>
          <w:sz w:val="32"/>
          <w:szCs w:val="36"/>
          <w:lang w:val="en-US"/>
        </w:rPr>
      </w:pPr>
      <w:r w:rsidRPr="00F10F19">
        <w:rPr>
          <w:rFonts w:ascii="Arial" w:eastAsia="Arial" w:hAnsi="Arial" w:cs="Arial"/>
          <w:b/>
          <w:bCs/>
          <w:sz w:val="32"/>
          <w:szCs w:val="36"/>
          <w:lang w:val="en-US"/>
        </w:rPr>
        <w:t>Learning outcomes</w:t>
      </w:r>
    </w:p>
    <w:p w14:paraId="47249C91" w14:textId="77777777" w:rsidR="00F10F19" w:rsidRPr="00F10F19" w:rsidRDefault="00F10F19" w:rsidP="00F10F19">
      <w:pPr>
        <w:widowControl w:val="0"/>
        <w:autoSpaceDE w:val="0"/>
        <w:autoSpaceDN w:val="0"/>
        <w:spacing w:after="120"/>
        <w:contextualSpacing/>
        <w:jc w:val="both"/>
        <w:rPr>
          <w:rFonts w:ascii="Arial" w:eastAsia="Arial" w:hAnsi="Arial" w:cs="Arial"/>
          <w:sz w:val="22"/>
          <w:szCs w:val="22"/>
          <w:lang w:val="en-US"/>
        </w:rPr>
      </w:pPr>
      <w:bookmarkStart w:id="0" w:name="_Hlk159068143"/>
      <w:r w:rsidRPr="00F10F19">
        <w:rPr>
          <w:rFonts w:ascii="Arial" w:eastAsia="Arial" w:hAnsi="Arial" w:cs="Arial"/>
          <w:sz w:val="22"/>
          <w:szCs w:val="22"/>
          <w:lang w:val="en-US"/>
        </w:rPr>
        <w:t>By the end of the module the successful student will be able to:</w:t>
      </w:r>
      <w:bookmarkEnd w:id="0"/>
    </w:p>
    <w:p w14:paraId="629736D9" w14:textId="77777777" w:rsidR="00F10F19" w:rsidRPr="00F10F19" w:rsidRDefault="00F10F19" w:rsidP="00F10F19">
      <w:pPr>
        <w:widowControl w:val="0"/>
        <w:numPr>
          <w:ilvl w:val="0"/>
          <w:numId w:val="2"/>
        </w:numPr>
        <w:suppressAutoHyphens/>
        <w:autoSpaceDE w:val="0"/>
        <w:autoSpaceDN w:val="0"/>
        <w:spacing w:after="120"/>
        <w:contextualSpacing/>
        <w:jc w:val="both"/>
        <w:rPr>
          <w:rFonts w:ascii="Arial" w:eastAsia="WenQuanYi Micro Hei" w:hAnsi="Arial" w:cs="Arial"/>
          <w:kern w:val="1"/>
          <w:sz w:val="22"/>
          <w:szCs w:val="22"/>
          <w:lang w:val="en-GB" w:eastAsia="pl-PL" w:bidi="hi-IN"/>
        </w:rPr>
      </w:pPr>
      <w:r w:rsidRPr="00F10F19">
        <w:rPr>
          <w:rFonts w:ascii="Arial" w:eastAsia="WenQuanYi Micro Hei" w:hAnsi="Arial" w:cs="Arial"/>
          <w:kern w:val="1"/>
          <w:sz w:val="22"/>
          <w:szCs w:val="22"/>
          <w:lang w:val="en-GB" w:eastAsia="pl-PL" w:bidi="hi-IN"/>
        </w:rPr>
        <w:t xml:space="preserve">Critically evaluate the development and contemporary relevance of imperialist ideologies, with reference to global security concerns and international relations in the post-Cold War context. </w:t>
      </w:r>
    </w:p>
    <w:p w14:paraId="5E200A4E" w14:textId="77777777" w:rsidR="00F10F19" w:rsidRPr="00F10F19" w:rsidRDefault="00F10F19" w:rsidP="00F10F19">
      <w:pPr>
        <w:widowControl w:val="0"/>
        <w:numPr>
          <w:ilvl w:val="0"/>
          <w:numId w:val="2"/>
        </w:numPr>
        <w:suppressAutoHyphens/>
        <w:autoSpaceDE w:val="0"/>
        <w:autoSpaceDN w:val="0"/>
        <w:spacing w:after="120"/>
        <w:contextualSpacing/>
        <w:jc w:val="both"/>
        <w:rPr>
          <w:rFonts w:ascii="Arial" w:eastAsia="WenQuanYi Micro Hei" w:hAnsi="Arial" w:cs="Arial"/>
          <w:kern w:val="1"/>
          <w:sz w:val="22"/>
          <w:szCs w:val="22"/>
          <w:lang w:val="en-GB" w:eastAsia="pl-PL" w:bidi="hi-IN"/>
        </w:rPr>
      </w:pPr>
      <w:r w:rsidRPr="00F10F19">
        <w:rPr>
          <w:rFonts w:ascii="Arial" w:eastAsia="WenQuanYi Micro Hei" w:hAnsi="Arial" w:cs="Arial"/>
          <w:kern w:val="1"/>
          <w:sz w:val="22"/>
          <w:szCs w:val="22"/>
          <w:lang w:val="en-GB" w:eastAsia="pl-PL" w:bidi="hi-IN"/>
        </w:rPr>
        <w:t>Demonstrate in-depth knowledge of imperial behaviour, assessing their significance within broader geopolitical narratives and regional dynamics.</w:t>
      </w:r>
    </w:p>
    <w:p w14:paraId="0E384C9F" w14:textId="77777777" w:rsidR="00F10F19" w:rsidRPr="00F10F19" w:rsidRDefault="00F10F19" w:rsidP="00F10F19">
      <w:pPr>
        <w:widowControl w:val="0"/>
        <w:numPr>
          <w:ilvl w:val="0"/>
          <w:numId w:val="2"/>
        </w:numPr>
        <w:suppressAutoHyphens/>
        <w:autoSpaceDE w:val="0"/>
        <w:autoSpaceDN w:val="0"/>
        <w:spacing w:after="120"/>
        <w:contextualSpacing/>
        <w:jc w:val="both"/>
        <w:rPr>
          <w:rFonts w:ascii="Arial" w:eastAsia="WenQuanYi Micro Hei" w:hAnsi="Arial" w:cs="Arial"/>
          <w:kern w:val="1"/>
          <w:sz w:val="22"/>
          <w:szCs w:val="22"/>
          <w:lang w:val="en-GB" w:eastAsia="pl-PL" w:bidi="hi-IN"/>
        </w:rPr>
      </w:pPr>
      <w:r w:rsidRPr="00F10F19">
        <w:rPr>
          <w:rFonts w:ascii="Arial" w:eastAsia="WenQuanYi Micro Hei" w:hAnsi="Arial" w:cs="Arial"/>
          <w:kern w:val="1"/>
          <w:sz w:val="22"/>
          <w:szCs w:val="22"/>
          <w:lang w:val="en-GB" w:eastAsia="pl-PL" w:bidi="hi-IN"/>
        </w:rPr>
        <w:t>Analyse the impacts of imperial legacies on the international world order</w:t>
      </w:r>
      <w:r w:rsidRPr="00F10F19">
        <w:rPr>
          <w:rFonts w:ascii="Liberation Serif" w:eastAsia="WenQuanYi Micro Hei" w:hAnsi="Liberation Serif" w:cs="Lohit Hindi"/>
          <w:kern w:val="1"/>
          <w:lang w:val="en-GB" w:eastAsia="pl-PL" w:bidi="hi-IN"/>
        </w:rPr>
        <w:t>,</w:t>
      </w:r>
      <w:r w:rsidRPr="00F10F19">
        <w:rPr>
          <w:rFonts w:ascii="Arial" w:eastAsia="WenQuanYi Micro Hei" w:hAnsi="Arial" w:cs="Arial"/>
          <w:kern w:val="1"/>
          <w:sz w:val="22"/>
          <w:szCs w:val="22"/>
          <w:lang w:val="en-GB" w:eastAsia="pl-PL" w:bidi="hi-IN"/>
        </w:rPr>
        <w:t xml:space="preserve"> especially in terms of regional conflicts and global power relations.</w:t>
      </w:r>
    </w:p>
    <w:p w14:paraId="20E03406" w14:textId="77777777" w:rsidR="00F10F19" w:rsidRPr="00F10F19" w:rsidRDefault="00F10F19" w:rsidP="00F10F19">
      <w:pPr>
        <w:widowControl w:val="0"/>
        <w:numPr>
          <w:ilvl w:val="0"/>
          <w:numId w:val="2"/>
        </w:numPr>
        <w:suppressAutoHyphens/>
        <w:autoSpaceDE w:val="0"/>
        <w:autoSpaceDN w:val="0"/>
        <w:spacing w:after="120"/>
        <w:contextualSpacing/>
        <w:jc w:val="both"/>
        <w:rPr>
          <w:rFonts w:ascii="Arial" w:eastAsia="WenQuanYi Micro Hei" w:hAnsi="Arial" w:cs="Arial"/>
          <w:kern w:val="1"/>
          <w:sz w:val="22"/>
          <w:szCs w:val="22"/>
          <w:lang w:val="en-GB" w:eastAsia="pl-PL" w:bidi="hi-IN"/>
        </w:rPr>
      </w:pPr>
      <w:r w:rsidRPr="00F10F19">
        <w:rPr>
          <w:rFonts w:ascii="Arial" w:eastAsia="WenQuanYi Micro Hei" w:hAnsi="Arial" w:cs="Arial"/>
          <w:kern w:val="1"/>
          <w:sz w:val="22"/>
          <w:szCs w:val="22"/>
          <w:lang w:val="en-GB" w:eastAsia="pl-PL" w:bidi="hi-IN"/>
        </w:rPr>
        <w:t>Critically evaluate the actions of states and societies in times of war.</w:t>
      </w:r>
    </w:p>
    <w:p w14:paraId="54388FDD" w14:textId="77777777" w:rsidR="00F10F19" w:rsidRPr="00F10F19" w:rsidRDefault="00F10F19" w:rsidP="00F10F19">
      <w:pPr>
        <w:widowControl w:val="0"/>
        <w:numPr>
          <w:ilvl w:val="0"/>
          <w:numId w:val="2"/>
        </w:numPr>
        <w:suppressAutoHyphens/>
        <w:autoSpaceDE w:val="0"/>
        <w:autoSpaceDN w:val="0"/>
        <w:spacing w:after="120"/>
        <w:contextualSpacing/>
        <w:jc w:val="both"/>
        <w:rPr>
          <w:rFonts w:ascii="Arial" w:eastAsia="WenQuanYi Micro Hei" w:hAnsi="Arial" w:cs="Arial"/>
          <w:kern w:val="1"/>
          <w:sz w:val="22"/>
          <w:szCs w:val="22"/>
          <w:lang w:val="en-GB" w:eastAsia="pl-PL" w:bidi="hi-IN"/>
        </w:rPr>
      </w:pPr>
      <w:r w:rsidRPr="00F10F19">
        <w:rPr>
          <w:rFonts w:ascii="Arial" w:eastAsia="WenQuanYi Micro Hei" w:hAnsi="Arial" w:cs="Arial"/>
          <w:kern w:val="1"/>
          <w:sz w:val="22"/>
          <w:szCs w:val="22"/>
          <w:lang w:val="en-GB" w:eastAsia="pl-PL" w:bidi="hi-IN"/>
        </w:rPr>
        <w:t>Develop a critical understanding of what led to the most important examples of state and sub-state level violence historically and in the present, considering their implications for regional and global security.</w:t>
      </w:r>
    </w:p>
    <w:p w14:paraId="18F3E848" w14:textId="77777777" w:rsidR="00F10F19" w:rsidRPr="00F10F19" w:rsidRDefault="00F10F19" w:rsidP="00F10F19">
      <w:pPr>
        <w:widowControl w:val="0"/>
        <w:numPr>
          <w:ilvl w:val="0"/>
          <w:numId w:val="2"/>
        </w:numPr>
        <w:suppressAutoHyphens/>
        <w:autoSpaceDE w:val="0"/>
        <w:autoSpaceDN w:val="0"/>
        <w:spacing w:after="120"/>
        <w:contextualSpacing/>
        <w:jc w:val="both"/>
        <w:rPr>
          <w:rFonts w:ascii="Arial" w:eastAsia="WenQuanYi Micro Hei" w:hAnsi="Arial" w:cs="Arial"/>
          <w:kern w:val="1"/>
          <w:sz w:val="22"/>
          <w:szCs w:val="22"/>
          <w:lang w:val="en-GB" w:eastAsia="pl-PL" w:bidi="hi-IN"/>
        </w:rPr>
      </w:pPr>
      <w:r w:rsidRPr="00F10F19">
        <w:rPr>
          <w:rFonts w:ascii="Arial" w:eastAsia="WenQuanYi Micro Hei" w:hAnsi="Arial" w:cs="Arial"/>
          <w:kern w:val="1"/>
          <w:sz w:val="22"/>
          <w:szCs w:val="22"/>
          <w:lang w:val="en-GB" w:eastAsia="pl-PL" w:bidi="hi-IN"/>
        </w:rPr>
        <w:t>Critically evaluate strategies for post-conflict reconstruction and reconciliation, with attention to regional dynamics, international responses, and theoretical approaches to peace and justice.</w:t>
      </w:r>
    </w:p>
    <w:p w14:paraId="6022C136" w14:textId="77777777" w:rsidR="00F10F19" w:rsidRPr="00F10F19" w:rsidRDefault="00F10F19" w:rsidP="00F10F19">
      <w:pPr>
        <w:widowControl w:val="0"/>
        <w:autoSpaceDE w:val="0"/>
        <w:autoSpaceDN w:val="0"/>
        <w:spacing w:before="240" w:after="240"/>
        <w:outlineLvl w:val="0"/>
        <w:rPr>
          <w:rFonts w:ascii="Arial" w:eastAsia="Arial" w:hAnsi="Arial" w:cs="Arial"/>
          <w:b/>
          <w:bCs/>
          <w:sz w:val="32"/>
          <w:szCs w:val="36"/>
          <w:lang w:val="en-US"/>
        </w:rPr>
      </w:pPr>
      <w:r w:rsidRPr="00F10F19">
        <w:rPr>
          <w:rFonts w:ascii="Arial" w:eastAsia="Arial" w:hAnsi="Arial" w:cs="Arial"/>
          <w:b/>
          <w:bCs/>
          <w:sz w:val="32"/>
          <w:szCs w:val="36"/>
          <w:lang w:val="en-US"/>
        </w:rPr>
        <w:t>Course outcomes the module contributes to:</w:t>
      </w:r>
    </w:p>
    <w:p w14:paraId="305B1128" w14:textId="77777777" w:rsidR="00F10F19" w:rsidRPr="00F10F19" w:rsidRDefault="00F10F19" w:rsidP="00F10F19">
      <w:pPr>
        <w:widowControl w:val="0"/>
        <w:numPr>
          <w:ilvl w:val="0"/>
          <w:numId w:val="3"/>
        </w:numPr>
        <w:autoSpaceDE w:val="0"/>
        <w:autoSpaceDN w:val="0"/>
        <w:spacing w:after="240"/>
        <w:contextualSpacing/>
        <w:jc w:val="both"/>
        <w:rPr>
          <w:rFonts w:ascii="Arial" w:eastAsia="Calibri" w:hAnsi="Arial" w:cs="Arial"/>
          <w:iCs/>
          <w:sz w:val="22"/>
          <w:szCs w:val="22"/>
          <w:shd w:val="clear" w:color="auto" w:fill="FFFFFF"/>
          <w:lang w:val="en-GB" w:eastAsia="ja-JP"/>
        </w:rPr>
      </w:pPr>
      <w:r w:rsidRPr="00F10F19">
        <w:rPr>
          <w:rFonts w:ascii="Arial" w:eastAsia="Calibri" w:hAnsi="Arial" w:cs="Arial"/>
          <w:iCs/>
          <w:sz w:val="22"/>
          <w:szCs w:val="22"/>
          <w:shd w:val="clear" w:color="auto" w:fill="FFFFFF"/>
          <w:lang w:val="en-GB" w:eastAsia="ja-JP"/>
        </w:rPr>
        <w:t>L5.1 Detailed understanding of the contemporary agenda of global security and the key issues that have dominated International Relations in the post-Cold War era.</w:t>
      </w:r>
    </w:p>
    <w:p w14:paraId="30ADEB85" w14:textId="77777777" w:rsidR="00F10F19" w:rsidRPr="00F10F19" w:rsidRDefault="00F10F19" w:rsidP="00F10F19">
      <w:pPr>
        <w:widowControl w:val="0"/>
        <w:numPr>
          <w:ilvl w:val="0"/>
          <w:numId w:val="3"/>
        </w:numPr>
        <w:autoSpaceDE w:val="0"/>
        <w:autoSpaceDN w:val="0"/>
        <w:spacing w:after="240"/>
        <w:contextualSpacing/>
        <w:jc w:val="both"/>
        <w:rPr>
          <w:rFonts w:ascii="Arial" w:eastAsia="Calibri" w:hAnsi="Arial" w:cs="Arial"/>
          <w:iCs/>
          <w:sz w:val="22"/>
          <w:szCs w:val="22"/>
          <w:shd w:val="clear" w:color="auto" w:fill="FFFFFF"/>
          <w:lang w:val="en-GB" w:eastAsia="ja-JP"/>
        </w:rPr>
      </w:pPr>
      <w:r w:rsidRPr="00F10F19">
        <w:rPr>
          <w:rFonts w:ascii="Arial" w:eastAsia="Calibri" w:hAnsi="Arial" w:cs="Arial"/>
          <w:iCs/>
          <w:sz w:val="22"/>
          <w:szCs w:val="22"/>
          <w:shd w:val="clear" w:color="auto" w:fill="FFFFFF"/>
          <w:lang w:val="en-GB" w:eastAsia="ja-JP"/>
        </w:rPr>
        <w:t xml:space="preserve">L5.3 An ability to critically identify the geopolitical dimensions of International Relations and key events into a broad narrative on post-Cold War politics.  </w:t>
      </w:r>
    </w:p>
    <w:p w14:paraId="1B312BCE" w14:textId="77777777" w:rsidR="00F10F19" w:rsidRPr="00F10F19" w:rsidRDefault="00F10F19" w:rsidP="00F10F19">
      <w:pPr>
        <w:widowControl w:val="0"/>
        <w:numPr>
          <w:ilvl w:val="0"/>
          <w:numId w:val="3"/>
        </w:numPr>
        <w:autoSpaceDE w:val="0"/>
        <w:autoSpaceDN w:val="0"/>
        <w:spacing w:after="240"/>
        <w:contextualSpacing/>
        <w:jc w:val="both"/>
        <w:rPr>
          <w:rFonts w:ascii="Arial" w:eastAsia="Calibri" w:hAnsi="Arial" w:cs="Arial"/>
          <w:iCs/>
          <w:sz w:val="22"/>
          <w:szCs w:val="22"/>
          <w:shd w:val="clear" w:color="auto" w:fill="FFFFFF"/>
          <w:lang w:val="en-GB" w:eastAsia="ja-JP"/>
        </w:rPr>
      </w:pPr>
      <w:r w:rsidRPr="00F10F19">
        <w:rPr>
          <w:rFonts w:ascii="Arial" w:eastAsia="Calibri" w:hAnsi="Arial" w:cs="Arial"/>
          <w:iCs/>
          <w:sz w:val="22"/>
          <w:szCs w:val="22"/>
          <w:shd w:val="clear" w:color="auto" w:fill="FFFFFF"/>
          <w:lang w:val="en-GB" w:eastAsia="ja-JP"/>
        </w:rPr>
        <w:t xml:space="preserve">L5.4 An appreciation for the regional dynamics of International Relations, with specific focus on the politics of Europe, the Middle East, Asia and Africa.  </w:t>
      </w:r>
    </w:p>
    <w:p w14:paraId="486A332F" w14:textId="77777777" w:rsidR="00F10F19" w:rsidRPr="00F10F19" w:rsidRDefault="00F10F19" w:rsidP="00F10F19">
      <w:pPr>
        <w:widowControl w:val="0"/>
        <w:numPr>
          <w:ilvl w:val="0"/>
          <w:numId w:val="3"/>
        </w:numPr>
        <w:autoSpaceDE w:val="0"/>
        <w:autoSpaceDN w:val="0"/>
        <w:spacing w:after="240"/>
        <w:contextualSpacing/>
        <w:jc w:val="both"/>
        <w:rPr>
          <w:rFonts w:ascii="Arial" w:eastAsia="Calibri" w:hAnsi="Arial" w:cs="Arial"/>
          <w:iCs/>
          <w:sz w:val="22"/>
          <w:szCs w:val="22"/>
          <w:shd w:val="clear" w:color="auto" w:fill="FFFFFF"/>
          <w:lang w:val="en-GB" w:eastAsia="ja-JP"/>
        </w:rPr>
      </w:pPr>
      <w:r w:rsidRPr="00F10F19">
        <w:rPr>
          <w:rFonts w:ascii="Arial" w:eastAsia="Calibri" w:hAnsi="Arial" w:cs="Arial"/>
          <w:iCs/>
          <w:sz w:val="22"/>
          <w:szCs w:val="22"/>
          <w:shd w:val="clear" w:color="auto" w:fill="FFFFFF"/>
          <w:lang w:val="en-GB" w:eastAsia="ja-JP"/>
        </w:rPr>
        <w:t xml:space="preserve">L5.5 An understanding of the varieties of approaches to understanding, constructing and interpreting the international system, especially through concepts and theories derived from the social sciences.  </w:t>
      </w:r>
    </w:p>
    <w:p w14:paraId="0E29079B" w14:textId="77777777" w:rsidR="00F10F19" w:rsidRDefault="00F10F19" w:rsidP="00F10F19">
      <w:pPr>
        <w:widowControl w:val="0"/>
        <w:autoSpaceDE w:val="0"/>
        <w:autoSpaceDN w:val="0"/>
        <w:spacing w:before="240" w:after="240"/>
        <w:outlineLvl w:val="0"/>
        <w:rPr>
          <w:rFonts w:ascii="Arial" w:eastAsia="Arial" w:hAnsi="Arial" w:cs="Arial"/>
          <w:b/>
          <w:bCs/>
          <w:sz w:val="32"/>
          <w:szCs w:val="36"/>
          <w:lang w:val="en-GB"/>
        </w:rPr>
      </w:pPr>
    </w:p>
    <w:p w14:paraId="2D3A7881" w14:textId="28598AA8" w:rsidR="00F10F19" w:rsidRPr="00F10F19" w:rsidRDefault="00F10F19" w:rsidP="00F10F19">
      <w:pPr>
        <w:widowControl w:val="0"/>
        <w:autoSpaceDE w:val="0"/>
        <w:autoSpaceDN w:val="0"/>
        <w:spacing w:before="240" w:after="240"/>
        <w:outlineLvl w:val="0"/>
        <w:rPr>
          <w:rFonts w:ascii="Arial" w:eastAsia="Arial" w:hAnsi="Arial" w:cs="Arial"/>
          <w:b/>
          <w:bCs/>
          <w:sz w:val="32"/>
          <w:szCs w:val="36"/>
          <w:lang w:val="en-US"/>
        </w:rPr>
      </w:pPr>
      <w:r w:rsidRPr="00F10F19">
        <w:rPr>
          <w:rFonts w:ascii="Arial" w:eastAsia="Arial" w:hAnsi="Arial" w:cs="Arial"/>
          <w:b/>
          <w:bCs/>
          <w:sz w:val="32"/>
          <w:szCs w:val="36"/>
          <w:lang w:val="en-US"/>
        </w:rPr>
        <w:lastRenderedPageBreak/>
        <w:t>Indicative syllabus content</w:t>
      </w:r>
    </w:p>
    <w:p w14:paraId="372DABF4" w14:textId="77777777" w:rsidR="00F10F19" w:rsidRPr="00F10F19" w:rsidRDefault="00F10F19" w:rsidP="00F10F19">
      <w:pPr>
        <w:widowControl w:val="0"/>
        <w:numPr>
          <w:ilvl w:val="0"/>
          <w:numId w:val="4"/>
        </w:numPr>
        <w:autoSpaceDE w:val="0"/>
        <w:autoSpaceDN w:val="0"/>
        <w:spacing w:after="120" w:line="276" w:lineRule="auto"/>
        <w:ind w:left="714" w:hanging="357"/>
        <w:contextualSpacing/>
        <w:jc w:val="both"/>
        <w:rPr>
          <w:rFonts w:ascii="Arial" w:eastAsia="Times New Roman" w:hAnsi="Arial" w:cs="Arial"/>
          <w:sz w:val="22"/>
          <w:szCs w:val="22"/>
          <w:lang w:val="en-GB"/>
        </w:rPr>
      </w:pPr>
      <w:r w:rsidRPr="00F10F19">
        <w:rPr>
          <w:rFonts w:ascii="Arial" w:eastAsia="Times New Roman" w:hAnsi="Arial" w:cs="Arial"/>
          <w:sz w:val="22"/>
          <w:szCs w:val="22"/>
          <w:lang w:val="en-GB"/>
        </w:rPr>
        <w:t xml:space="preserve">Theories of Empire, imperialism and neo-imperialism </w:t>
      </w:r>
    </w:p>
    <w:p w14:paraId="6E2A873B" w14:textId="77777777" w:rsidR="00F10F19" w:rsidRPr="00F10F19" w:rsidRDefault="00F10F19" w:rsidP="00F10F19">
      <w:pPr>
        <w:widowControl w:val="0"/>
        <w:numPr>
          <w:ilvl w:val="0"/>
          <w:numId w:val="4"/>
        </w:numPr>
        <w:autoSpaceDE w:val="0"/>
        <w:autoSpaceDN w:val="0"/>
        <w:spacing w:after="120" w:line="276" w:lineRule="auto"/>
        <w:ind w:left="714" w:hanging="357"/>
        <w:contextualSpacing/>
        <w:jc w:val="both"/>
        <w:rPr>
          <w:rFonts w:ascii="Arial" w:eastAsia="Times New Roman" w:hAnsi="Arial" w:cs="Arial"/>
          <w:sz w:val="22"/>
          <w:szCs w:val="22"/>
          <w:lang w:val="en-GB"/>
        </w:rPr>
      </w:pPr>
      <w:r w:rsidRPr="00F10F19">
        <w:rPr>
          <w:rFonts w:ascii="Arial" w:eastAsia="Times New Roman" w:hAnsi="Arial" w:cs="Arial"/>
          <w:sz w:val="22"/>
          <w:szCs w:val="22"/>
          <w:lang w:val="en-GB"/>
        </w:rPr>
        <w:t>Histories of imperialism</w:t>
      </w:r>
    </w:p>
    <w:p w14:paraId="7092C93C" w14:textId="77777777" w:rsidR="00F10F19" w:rsidRPr="00F10F19" w:rsidRDefault="00F10F19" w:rsidP="00F10F19">
      <w:pPr>
        <w:widowControl w:val="0"/>
        <w:numPr>
          <w:ilvl w:val="0"/>
          <w:numId w:val="4"/>
        </w:numPr>
        <w:autoSpaceDE w:val="0"/>
        <w:autoSpaceDN w:val="0"/>
        <w:spacing w:after="120" w:line="276" w:lineRule="auto"/>
        <w:ind w:left="714" w:hanging="357"/>
        <w:contextualSpacing/>
        <w:jc w:val="both"/>
        <w:rPr>
          <w:rFonts w:ascii="Arial" w:eastAsia="Times New Roman" w:hAnsi="Arial" w:cs="Arial"/>
          <w:sz w:val="22"/>
          <w:szCs w:val="22"/>
          <w:lang w:val="en-GB"/>
        </w:rPr>
      </w:pPr>
      <w:r w:rsidRPr="00F10F19">
        <w:rPr>
          <w:rFonts w:ascii="Arial" w:eastAsia="Times New Roman" w:hAnsi="Arial" w:cs="Arial"/>
          <w:sz w:val="22"/>
          <w:szCs w:val="22"/>
          <w:lang w:val="en-GB"/>
        </w:rPr>
        <w:t>Contemporary imperialism and neo-imperialism</w:t>
      </w:r>
    </w:p>
    <w:p w14:paraId="4A3EE4BA" w14:textId="77777777" w:rsidR="00F10F19" w:rsidRPr="00F10F19" w:rsidRDefault="00F10F19" w:rsidP="00F10F19">
      <w:pPr>
        <w:widowControl w:val="0"/>
        <w:numPr>
          <w:ilvl w:val="0"/>
          <w:numId w:val="4"/>
        </w:numPr>
        <w:autoSpaceDE w:val="0"/>
        <w:autoSpaceDN w:val="0"/>
        <w:spacing w:after="120" w:line="276" w:lineRule="auto"/>
        <w:ind w:left="714" w:hanging="357"/>
        <w:contextualSpacing/>
        <w:jc w:val="both"/>
        <w:rPr>
          <w:rFonts w:ascii="Arial" w:eastAsia="Times New Roman" w:hAnsi="Arial" w:cs="Arial"/>
          <w:sz w:val="22"/>
          <w:szCs w:val="22"/>
          <w:lang w:val="en-GB"/>
        </w:rPr>
      </w:pPr>
      <w:r w:rsidRPr="00F10F19">
        <w:rPr>
          <w:rFonts w:ascii="Arial" w:eastAsia="Times New Roman" w:hAnsi="Arial" w:cs="Arial"/>
          <w:sz w:val="22"/>
          <w:szCs w:val="22"/>
          <w:lang w:val="en-GB"/>
        </w:rPr>
        <w:t xml:space="preserve">Analysis of the behaviour of current great powers through the lens of imperialism </w:t>
      </w:r>
    </w:p>
    <w:p w14:paraId="69D99CFE" w14:textId="77777777" w:rsidR="00F10F19" w:rsidRPr="00F10F19" w:rsidRDefault="00F10F19" w:rsidP="00F10F19">
      <w:pPr>
        <w:widowControl w:val="0"/>
        <w:numPr>
          <w:ilvl w:val="0"/>
          <w:numId w:val="4"/>
        </w:numPr>
        <w:autoSpaceDE w:val="0"/>
        <w:autoSpaceDN w:val="0"/>
        <w:spacing w:after="120" w:line="276" w:lineRule="auto"/>
        <w:ind w:left="714" w:hanging="357"/>
        <w:contextualSpacing/>
        <w:jc w:val="both"/>
        <w:rPr>
          <w:rFonts w:ascii="Arial" w:eastAsia="Times New Roman" w:hAnsi="Arial" w:cs="Arial"/>
          <w:sz w:val="22"/>
          <w:szCs w:val="22"/>
          <w:lang w:val="en-GB"/>
        </w:rPr>
      </w:pPr>
      <w:r w:rsidRPr="00F10F19">
        <w:rPr>
          <w:rFonts w:ascii="Arial" w:eastAsia="Times New Roman" w:hAnsi="Arial" w:cs="Arial"/>
          <w:sz w:val="22"/>
          <w:szCs w:val="22"/>
          <w:lang w:val="en-GB"/>
        </w:rPr>
        <w:t>Theories of state violence, ethnic cleansing and genocide</w:t>
      </w:r>
    </w:p>
    <w:p w14:paraId="5C68ABEA" w14:textId="77777777" w:rsidR="00F10F19" w:rsidRPr="00F10F19" w:rsidRDefault="00F10F19" w:rsidP="00F10F19">
      <w:pPr>
        <w:widowControl w:val="0"/>
        <w:numPr>
          <w:ilvl w:val="0"/>
          <w:numId w:val="4"/>
        </w:numPr>
        <w:autoSpaceDE w:val="0"/>
        <w:autoSpaceDN w:val="0"/>
        <w:spacing w:after="120" w:line="276" w:lineRule="auto"/>
        <w:ind w:left="714" w:hanging="357"/>
        <w:contextualSpacing/>
        <w:jc w:val="both"/>
        <w:rPr>
          <w:rFonts w:ascii="Arial" w:eastAsia="Times New Roman" w:hAnsi="Arial" w:cs="Arial"/>
          <w:sz w:val="22"/>
          <w:szCs w:val="22"/>
          <w:lang w:val="en-GB"/>
        </w:rPr>
      </w:pPr>
      <w:r w:rsidRPr="00F10F19">
        <w:rPr>
          <w:rFonts w:ascii="Arial" w:eastAsia="Times New Roman" w:hAnsi="Arial" w:cs="Arial"/>
          <w:sz w:val="22"/>
          <w:szCs w:val="22"/>
          <w:lang w:val="en-GB"/>
        </w:rPr>
        <w:t>Historical case studies of state violence, ethnic cleansing and Genocide</w:t>
      </w:r>
    </w:p>
    <w:p w14:paraId="36982293" w14:textId="77777777" w:rsidR="00F10F19" w:rsidRPr="00F10F19" w:rsidRDefault="00F10F19" w:rsidP="00F10F19">
      <w:pPr>
        <w:widowControl w:val="0"/>
        <w:numPr>
          <w:ilvl w:val="0"/>
          <w:numId w:val="4"/>
        </w:numPr>
        <w:autoSpaceDE w:val="0"/>
        <w:autoSpaceDN w:val="0"/>
        <w:spacing w:after="120" w:line="276" w:lineRule="auto"/>
        <w:ind w:left="714" w:hanging="357"/>
        <w:contextualSpacing/>
        <w:jc w:val="both"/>
        <w:rPr>
          <w:rFonts w:ascii="Arial" w:eastAsia="Times New Roman" w:hAnsi="Arial" w:cs="Arial"/>
          <w:sz w:val="22"/>
          <w:szCs w:val="22"/>
          <w:lang w:val="en-GB"/>
        </w:rPr>
      </w:pPr>
      <w:r w:rsidRPr="00F10F19">
        <w:rPr>
          <w:rFonts w:ascii="Arial" w:eastAsia="Times New Roman" w:hAnsi="Arial" w:cs="Arial"/>
          <w:sz w:val="22"/>
          <w:szCs w:val="22"/>
          <w:lang w:val="en-GB"/>
        </w:rPr>
        <w:t>State violence in the present and international attempts to solve issues related to it</w:t>
      </w:r>
    </w:p>
    <w:p w14:paraId="057330D5" w14:textId="77777777" w:rsidR="00F10F19" w:rsidRPr="00F10F19" w:rsidRDefault="00F10F19" w:rsidP="00F10F19">
      <w:pPr>
        <w:widowControl w:val="0"/>
        <w:numPr>
          <w:ilvl w:val="0"/>
          <w:numId w:val="4"/>
        </w:numPr>
        <w:autoSpaceDE w:val="0"/>
        <w:autoSpaceDN w:val="0"/>
        <w:spacing w:after="120" w:line="276" w:lineRule="auto"/>
        <w:ind w:left="714" w:hanging="357"/>
        <w:contextualSpacing/>
        <w:jc w:val="both"/>
        <w:rPr>
          <w:rFonts w:ascii="Arial" w:eastAsia="Times New Roman" w:hAnsi="Arial" w:cs="Arial"/>
          <w:sz w:val="22"/>
          <w:szCs w:val="22"/>
          <w:lang w:val="en-GB"/>
        </w:rPr>
      </w:pPr>
      <w:r w:rsidRPr="00F10F19">
        <w:rPr>
          <w:rFonts w:ascii="Arial" w:eastAsia="Times New Roman" w:hAnsi="Arial" w:cs="Arial"/>
          <w:sz w:val="22"/>
          <w:szCs w:val="22"/>
          <w:lang w:val="en-GB"/>
        </w:rPr>
        <w:t>International peacekeeping and its problems</w:t>
      </w:r>
    </w:p>
    <w:p w14:paraId="2F24FD2C" w14:textId="77777777" w:rsidR="00F10F19" w:rsidRPr="00F10F19" w:rsidRDefault="00F10F19" w:rsidP="00F10F19">
      <w:pPr>
        <w:widowControl w:val="0"/>
        <w:autoSpaceDE w:val="0"/>
        <w:autoSpaceDN w:val="0"/>
        <w:spacing w:before="240" w:after="240"/>
        <w:outlineLvl w:val="0"/>
        <w:rPr>
          <w:rFonts w:ascii="Arial" w:eastAsia="Arial" w:hAnsi="Arial" w:cs="Arial"/>
          <w:b/>
          <w:bCs/>
          <w:sz w:val="32"/>
          <w:szCs w:val="36"/>
          <w:lang w:val="en-US"/>
        </w:rPr>
      </w:pPr>
      <w:r w:rsidRPr="00F10F19">
        <w:rPr>
          <w:rFonts w:ascii="Arial" w:eastAsia="Arial" w:hAnsi="Arial" w:cs="Arial"/>
          <w:b/>
          <w:bCs/>
          <w:sz w:val="32"/>
          <w:szCs w:val="36"/>
          <w:lang w:val="en-US"/>
        </w:rPr>
        <w:t>Teaching</w:t>
      </w:r>
      <w:r w:rsidRPr="00F10F19">
        <w:rPr>
          <w:rFonts w:ascii="Arial" w:eastAsia="Arial" w:hAnsi="Arial" w:cs="Arial"/>
          <w:b/>
          <w:bCs/>
          <w:spacing w:val="15"/>
          <w:sz w:val="32"/>
          <w:szCs w:val="36"/>
          <w:lang w:val="en-US"/>
        </w:rPr>
        <w:t xml:space="preserve"> </w:t>
      </w:r>
      <w:r w:rsidRPr="00F10F19">
        <w:rPr>
          <w:rFonts w:ascii="Arial" w:eastAsia="Arial" w:hAnsi="Arial" w:cs="Arial"/>
          <w:b/>
          <w:bCs/>
          <w:sz w:val="32"/>
          <w:szCs w:val="36"/>
          <w:lang w:val="en-US"/>
        </w:rPr>
        <w:t>and</w:t>
      </w:r>
      <w:r w:rsidRPr="00F10F19">
        <w:rPr>
          <w:rFonts w:ascii="Arial" w:eastAsia="Arial" w:hAnsi="Arial" w:cs="Arial"/>
          <w:b/>
          <w:bCs/>
          <w:spacing w:val="16"/>
          <w:sz w:val="32"/>
          <w:szCs w:val="36"/>
          <w:lang w:val="en-US"/>
        </w:rPr>
        <w:t xml:space="preserve"> </w:t>
      </w:r>
      <w:r w:rsidRPr="00F10F19">
        <w:rPr>
          <w:rFonts w:ascii="Arial" w:eastAsia="Arial" w:hAnsi="Arial" w:cs="Arial"/>
          <w:b/>
          <w:bCs/>
          <w:sz w:val="32"/>
          <w:szCs w:val="36"/>
          <w:lang w:val="en-US"/>
        </w:rPr>
        <w:t>learning</w:t>
      </w:r>
      <w:r w:rsidRPr="00F10F19">
        <w:rPr>
          <w:rFonts w:ascii="Arial" w:eastAsia="Arial" w:hAnsi="Arial" w:cs="Arial"/>
          <w:b/>
          <w:bCs/>
          <w:spacing w:val="16"/>
          <w:sz w:val="32"/>
          <w:szCs w:val="36"/>
          <w:lang w:val="en-US"/>
        </w:rPr>
        <w:t xml:space="preserve"> </w:t>
      </w:r>
      <w:r w:rsidRPr="00F10F19">
        <w:rPr>
          <w:rFonts w:ascii="Arial" w:eastAsia="Arial" w:hAnsi="Arial" w:cs="Arial"/>
          <w:b/>
          <w:bCs/>
          <w:sz w:val="32"/>
          <w:szCs w:val="36"/>
          <w:lang w:val="en-US"/>
        </w:rPr>
        <w:t>methods</w:t>
      </w:r>
    </w:p>
    <w:p w14:paraId="391157C1" w14:textId="77777777" w:rsidR="00F10F19" w:rsidRPr="00F10F19" w:rsidRDefault="00F10F19" w:rsidP="00F10F19">
      <w:pPr>
        <w:contextualSpacing/>
        <w:jc w:val="both"/>
        <w:textAlignment w:val="baseline"/>
        <w:rPr>
          <w:rFonts w:ascii="Arial" w:eastAsia="Times New Roman" w:hAnsi="Arial" w:cs="Arial"/>
          <w:sz w:val="22"/>
          <w:szCs w:val="22"/>
          <w:lang w:val="en-GB" w:eastAsia="en-GB"/>
        </w:rPr>
      </w:pPr>
      <w:bookmarkStart w:id="1" w:name="_Hlk159069044"/>
      <w:r w:rsidRPr="00F10F19">
        <w:rPr>
          <w:rFonts w:ascii="Arial" w:eastAsia="Times New Roman" w:hAnsi="Arial" w:cs="Arial"/>
          <w:sz w:val="22"/>
          <w:szCs w:val="22"/>
          <w:shd w:val="clear" w:color="auto" w:fill="FFFFFF"/>
          <w:lang w:val="en-GB" w:eastAsia="en-GB"/>
        </w:rPr>
        <w:t>The module is conducted in the form of seminars which will cover the indicative content. Students will be expected to go through guided readings before each class. which refers to the topic of the previous seminar. Each class will revolve around a particular case study related to empire and state violence and ethnic cleansing. They will not only be encouraged to understand these case studies but also think of how the situations could have been avoided and how to solve related issues in the present</w:t>
      </w:r>
      <w:bookmarkStart w:id="2" w:name="_Hlk190340986"/>
      <w:r w:rsidRPr="00F10F19">
        <w:rPr>
          <w:rFonts w:ascii="Arial" w:eastAsia="Times New Roman" w:hAnsi="Arial" w:cs="Arial"/>
          <w:sz w:val="22"/>
          <w:szCs w:val="22"/>
          <w:shd w:val="clear" w:color="auto" w:fill="FFFFFF"/>
          <w:lang w:val="en-GB" w:eastAsia="en-GB"/>
        </w:rPr>
        <w:t xml:space="preserve">. </w:t>
      </w:r>
      <w:r w:rsidRPr="00F10F19">
        <w:rPr>
          <w:rFonts w:ascii="Arial" w:eastAsia="Times New Roman" w:hAnsi="Arial" w:cs="Arial"/>
          <w:sz w:val="22"/>
          <w:szCs w:val="22"/>
          <w:lang w:val="en-GB" w:eastAsia="en-GB"/>
        </w:rPr>
        <w:t xml:space="preserve">In terms of the part focused on state violence and ethnic cleansing, students will do an in-class presentation on a chosen topic. Presentations will not only assess important aspects of ethnic cleansing and analyse case studies, but presenting students will also be encouraged to provide a debate prompt which will lead to a wider class discussion. </w:t>
      </w:r>
      <w:bookmarkEnd w:id="2"/>
    </w:p>
    <w:bookmarkEnd w:id="1"/>
    <w:p w14:paraId="696047A0" w14:textId="77777777" w:rsidR="00F10F19" w:rsidRPr="00F10F19" w:rsidRDefault="00F10F19" w:rsidP="00F10F19">
      <w:pPr>
        <w:contextualSpacing/>
        <w:jc w:val="both"/>
        <w:textAlignment w:val="baseline"/>
        <w:rPr>
          <w:rFonts w:ascii="Segoe UI" w:eastAsia="Times New Roman" w:hAnsi="Segoe UI" w:cs="Segoe UI"/>
          <w:i/>
          <w:iCs/>
          <w:sz w:val="18"/>
          <w:szCs w:val="18"/>
          <w:lang w:val="en-GB" w:eastAsia="en-GB"/>
        </w:rPr>
      </w:pPr>
    </w:p>
    <w:tbl>
      <w:tblPr>
        <w:tblStyle w:val="GridTable1Light1"/>
        <w:tblW w:w="5000" w:type="pct"/>
        <w:tblLook w:val="06A0" w:firstRow="1" w:lastRow="0" w:firstColumn="1" w:lastColumn="0" w:noHBand="1" w:noVBand="1"/>
      </w:tblPr>
      <w:tblGrid>
        <w:gridCol w:w="5098"/>
        <w:gridCol w:w="1986"/>
        <w:gridCol w:w="1926"/>
      </w:tblGrid>
      <w:tr w:rsidR="00F10F19" w:rsidRPr="00F10F19" w14:paraId="2729472F" w14:textId="77777777" w:rsidTr="00FE71EB">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DA8AE07"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Activity type</w:t>
            </w:r>
          </w:p>
        </w:tc>
        <w:tc>
          <w:tcPr>
            <w:tcW w:w="1102" w:type="pct"/>
          </w:tcPr>
          <w:p w14:paraId="3B290169" w14:textId="77777777" w:rsidR="00F10F19" w:rsidRPr="00F10F19" w:rsidRDefault="00F10F19" w:rsidP="00F10F19">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Category</w:t>
            </w:r>
          </w:p>
        </w:tc>
        <w:tc>
          <w:tcPr>
            <w:tcW w:w="1069" w:type="pct"/>
          </w:tcPr>
          <w:p w14:paraId="2F27DBD5" w14:textId="77777777" w:rsidR="00F10F19" w:rsidRPr="00F10F19" w:rsidRDefault="00F10F19" w:rsidP="00F10F19">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Student learning and teaching hours*</w:t>
            </w:r>
          </w:p>
        </w:tc>
      </w:tr>
      <w:tr w:rsidR="00F10F19" w:rsidRPr="00F10F19" w14:paraId="1BA5161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59C9084"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Lecture</w:t>
            </w:r>
          </w:p>
        </w:tc>
        <w:tc>
          <w:tcPr>
            <w:tcW w:w="1102" w:type="pct"/>
          </w:tcPr>
          <w:p w14:paraId="12610BDF"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Scheduled</w:t>
            </w:r>
          </w:p>
        </w:tc>
        <w:tc>
          <w:tcPr>
            <w:tcW w:w="1069" w:type="pct"/>
          </w:tcPr>
          <w:p w14:paraId="30111D7D"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F10F19" w:rsidRPr="00F10F19" w14:paraId="36D20DB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74CFD05"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Seminar</w:t>
            </w:r>
          </w:p>
        </w:tc>
        <w:tc>
          <w:tcPr>
            <w:tcW w:w="1102" w:type="pct"/>
          </w:tcPr>
          <w:p w14:paraId="4F93770A"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Scheduled</w:t>
            </w:r>
          </w:p>
        </w:tc>
        <w:tc>
          <w:tcPr>
            <w:tcW w:w="1069" w:type="pct"/>
          </w:tcPr>
          <w:p w14:paraId="674AACBF"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60</w:t>
            </w:r>
          </w:p>
        </w:tc>
      </w:tr>
      <w:tr w:rsidR="00F10F19" w:rsidRPr="00F10F19" w14:paraId="071AF2B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3657974"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Tutorial</w:t>
            </w:r>
          </w:p>
        </w:tc>
        <w:tc>
          <w:tcPr>
            <w:tcW w:w="1102" w:type="pct"/>
          </w:tcPr>
          <w:p w14:paraId="56F12BA9"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Scheduled</w:t>
            </w:r>
          </w:p>
        </w:tc>
        <w:tc>
          <w:tcPr>
            <w:tcW w:w="1069" w:type="pct"/>
          </w:tcPr>
          <w:p w14:paraId="7D24C809"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F10F19" w:rsidRPr="00F10F19" w14:paraId="74D275DD"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FDE0A1B"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Project supervisor</w:t>
            </w:r>
          </w:p>
        </w:tc>
        <w:tc>
          <w:tcPr>
            <w:tcW w:w="1102" w:type="pct"/>
          </w:tcPr>
          <w:p w14:paraId="74368D6A"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Scheduled</w:t>
            </w:r>
          </w:p>
        </w:tc>
        <w:tc>
          <w:tcPr>
            <w:tcW w:w="1069" w:type="pct"/>
          </w:tcPr>
          <w:p w14:paraId="6BDC1304"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F10F19" w:rsidRPr="00F10F19" w14:paraId="120C84D1"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9009167"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Demonstration</w:t>
            </w:r>
          </w:p>
        </w:tc>
        <w:tc>
          <w:tcPr>
            <w:tcW w:w="1102" w:type="pct"/>
          </w:tcPr>
          <w:p w14:paraId="35D6E879"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Scheduled</w:t>
            </w:r>
          </w:p>
        </w:tc>
        <w:tc>
          <w:tcPr>
            <w:tcW w:w="1069" w:type="pct"/>
          </w:tcPr>
          <w:p w14:paraId="10A12B73"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F10F19" w:rsidRPr="00F10F19" w14:paraId="2746984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54FF596"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Practical classes and workshops</w:t>
            </w:r>
          </w:p>
        </w:tc>
        <w:tc>
          <w:tcPr>
            <w:tcW w:w="1102" w:type="pct"/>
          </w:tcPr>
          <w:p w14:paraId="678D1CAF"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Scheduled</w:t>
            </w:r>
          </w:p>
        </w:tc>
        <w:tc>
          <w:tcPr>
            <w:tcW w:w="1069" w:type="pct"/>
          </w:tcPr>
          <w:p w14:paraId="2B925153"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F10F19" w:rsidRPr="00F10F19" w14:paraId="35D6F8C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A4C74F8"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Supervised time in studio/workshop</w:t>
            </w:r>
          </w:p>
        </w:tc>
        <w:tc>
          <w:tcPr>
            <w:tcW w:w="1102" w:type="pct"/>
          </w:tcPr>
          <w:p w14:paraId="42302922"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Scheduled</w:t>
            </w:r>
          </w:p>
        </w:tc>
        <w:tc>
          <w:tcPr>
            <w:tcW w:w="1069" w:type="pct"/>
          </w:tcPr>
          <w:p w14:paraId="4CA6CB6D"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F10F19" w:rsidRPr="00F10F19" w14:paraId="2770210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312BE84"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Fieldwork</w:t>
            </w:r>
          </w:p>
        </w:tc>
        <w:tc>
          <w:tcPr>
            <w:tcW w:w="1102" w:type="pct"/>
          </w:tcPr>
          <w:p w14:paraId="512387B9"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Scheduled</w:t>
            </w:r>
          </w:p>
        </w:tc>
        <w:tc>
          <w:tcPr>
            <w:tcW w:w="1069" w:type="pct"/>
          </w:tcPr>
          <w:p w14:paraId="5B1A9FC5"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F10F19" w:rsidRPr="00F10F19" w14:paraId="3A6918F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3B103C9"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External visits</w:t>
            </w:r>
          </w:p>
        </w:tc>
        <w:tc>
          <w:tcPr>
            <w:tcW w:w="1102" w:type="pct"/>
          </w:tcPr>
          <w:p w14:paraId="08EAE680"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Scheduled</w:t>
            </w:r>
          </w:p>
        </w:tc>
        <w:tc>
          <w:tcPr>
            <w:tcW w:w="1069" w:type="pct"/>
          </w:tcPr>
          <w:p w14:paraId="369983FC"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F10F19" w:rsidRPr="00F10F19" w14:paraId="303ADF5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CEF7AF8"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Work based learning</w:t>
            </w:r>
          </w:p>
        </w:tc>
        <w:tc>
          <w:tcPr>
            <w:tcW w:w="1102" w:type="pct"/>
          </w:tcPr>
          <w:p w14:paraId="3A4D619F"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Scheduled</w:t>
            </w:r>
          </w:p>
        </w:tc>
        <w:tc>
          <w:tcPr>
            <w:tcW w:w="1069" w:type="pct"/>
          </w:tcPr>
          <w:p w14:paraId="45A6EF65"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F10F19" w:rsidRPr="00F10F19" w14:paraId="1568F798"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D96EACA"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Scheduled online learning</w:t>
            </w:r>
          </w:p>
        </w:tc>
        <w:tc>
          <w:tcPr>
            <w:tcW w:w="1102" w:type="pct"/>
          </w:tcPr>
          <w:p w14:paraId="01BA2D97"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Scheduled</w:t>
            </w:r>
          </w:p>
        </w:tc>
        <w:tc>
          <w:tcPr>
            <w:tcW w:w="1069" w:type="pct"/>
          </w:tcPr>
          <w:p w14:paraId="5E73A40A"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F10F19" w:rsidRPr="00F10F19" w14:paraId="09827E6C"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6EF322B"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Other learning</w:t>
            </w:r>
          </w:p>
        </w:tc>
        <w:tc>
          <w:tcPr>
            <w:tcW w:w="1102" w:type="pct"/>
          </w:tcPr>
          <w:p w14:paraId="5164A56A"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Scheduled</w:t>
            </w:r>
          </w:p>
        </w:tc>
        <w:tc>
          <w:tcPr>
            <w:tcW w:w="1069" w:type="pct"/>
          </w:tcPr>
          <w:p w14:paraId="1D2AAED9"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F10F19" w:rsidRPr="00F10F19" w14:paraId="48A7068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E38A290"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Total scheduled</w:t>
            </w:r>
          </w:p>
        </w:tc>
        <w:tc>
          <w:tcPr>
            <w:tcW w:w="1102" w:type="pct"/>
          </w:tcPr>
          <w:p w14:paraId="0DC16A66"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501B76BD"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6</w:t>
            </w:r>
            <w:r w:rsidRPr="00F10F19">
              <w:rPr>
                <w:rFonts w:ascii="Arial" w:eastAsia="Arial" w:hAnsi="Arial" w:cs="Arial"/>
                <w:shd w:val="clear" w:color="auto" w:fill="FFFFFF"/>
              </w:rPr>
              <w:t>0</w:t>
            </w:r>
          </w:p>
        </w:tc>
      </w:tr>
      <w:tr w:rsidR="00F10F19" w:rsidRPr="00F10F19" w14:paraId="56A0CAA4"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AB24907"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Placement</w:t>
            </w:r>
          </w:p>
        </w:tc>
        <w:tc>
          <w:tcPr>
            <w:tcW w:w="1102" w:type="pct"/>
          </w:tcPr>
          <w:p w14:paraId="34A85F2B"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Placement</w:t>
            </w:r>
          </w:p>
        </w:tc>
        <w:tc>
          <w:tcPr>
            <w:tcW w:w="1069" w:type="pct"/>
          </w:tcPr>
          <w:p w14:paraId="3A57D55B"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F10F19" w:rsidRPr="00F10F19" w14:paraId="2B38CBB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18AD376"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Independent study</w:t>
            </w:r>
          </w:p>
        </w:tc>
        <w:tc>
          <w:tcPr>
            <w:tcW w:w="1102" w:type="pct"/>
          </w:tcPr>
          <w:p w14:paraId="75DF468E"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Independent</w:t>
            </w:r>
          </w:p>
        </w:tc>
        <w:tc>
          <w:tcPr>
            <w:tcW w:w="1069" w:type="pct"/>
          </w:tcPr>
          <w:p w14:paraId="11A2BCFC"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140</w:t>
            </w:r>
          </w:p>
        </w:tc>
      </w:tr>
      <w:tr w:rsidR="00F10F19" w:rsidRPr="00F10F19" w14:paraId="34C4876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CEBFFDA" w14:textId="77777777" w:rsidR="00F10F19" w:rsidRPr="00F10F19" w:rsidRDefault="00F10F19" w:rsidP="00F10F19">
            <w:pPr>
              <w:spacing w:before="80" w:after="80"/>
              <w:contextualSpacing/>
              <w:rPr>
                <w:rFonts w:ascii="Arial" w:eastAsia="Arial" w:hAnsi="Arial" w:cs="Arial"/>
              </w:rPr>
            </w:pPr>
            <w:r w:rsidRPr="00F10F19">
              <w:rPr>
                <w:rFonts w:ascii="Arial" w:eastAsia="Arial" w:hAnsi="Arial" w:cs="Arial"/>
              </w:rPr>
              <w:t>Total student learning and teaching hours</w:t>
            </w:r>
          </w:p>
        </w:tc>
        <w:tc>
          <w:tcPr>
            <w:tcW w:w="1102" w:type="pct"/>
          </w:tcPr>
          <w:p w14:paraId="44C315E7"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0B2C123E" w14:textId="77777777" w:rsidR="00F10F19" w:rsidRPr="00F10F19" w:rsidRDefault="00F10F19" w:rsidP="00F10F19">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10F19">
              <w:rPr>
                <w:rFonts w:ascii="Arial" w:eastAsia="Arial" w:hAnsi="Arial" w:cs="Arial"/>
              </w:rPr>
              <w:t>200</w:t>
            </w:r>
          </w:p>
        </w:tc>
      </w:tr>
    </w:tbl>
    <w:p w14:paraId="728B3AB4" w14:textId="77777777" w:rsidR="00F10F19" w:rsidRPr="00F10F19" w:rsidRDefault="00F10F19" w:rsidP="00F10F19">
      <w:pPr>
        <w:widowControl w:val="0"/>
        <w:autoSpaceDE w:val="0"/>
        <w:autoSpaceDN w:val="0"/>
        <w:spacing w:before="120" w:after="120"/>
        <w:contextualSpacing/>
        <w:rPr>
          <w:rFonts w:ascii="Arial" w:eastAsia="Arial" w:hAnsi="Arial" w:cs="Arial"/>
          <w:sz w:val="22"/>
          <w:szCs w:val="22"/>
          <w:lang w:val="en-US"/>
        </w:rPr>
      </w:pPr>
      <w:r w:rsidRPr="00F10F19">
        <w:rPr>
          <w:rFonts w:ascii="Arial" w:eastAsia="Arial" w:hAnsi="Arial" w:cs="Arial"/>
          <w:sz w:val="22"/>
          <w:szCs w:val="22"/>
          <w:lang w:val="en-US"/>
        </w:rPr>
        <w:lastRenderedPageBreak/>
        <w:t>*</w:t>
      </w:r>
      <w:proofErr w:type="gramStart"/>
      <w:r w:rsidRPr="00F10F19">
        <w:rPr>
          <w:rFonts w:ascii="Arial" w:eastAsia="Arial" w:hAnsi="Arial" w:cs="Arial"/>
          <w:sz w:val="22"/>
          <w:szCs w:val="22"/>
          <w:lang w:val="en-US"/>
        </w:rPr>
        <w:t>hours</w:t>
      </w:r>
      <w:proofErr w:type="gramEnd"/>
      <w:r w:rsidRPr="00F10F19">
        <w:rPr>
          <w:rFonts w:ascii="Arial" w:eastAsia="Arial" w:hAnsi="Arial" w:cs="Arial"/>
          <w:sz w:val="22"/>
          <w:szCs w:val="22"/>
          <w:lang w:val="en-US"/>
        </w:rPr>
        <w:t xml:space="preserve"> per activity type are indicative and subject to change.</w:t>
      </w:r>
    </w:p>
    <w:p w14:paraId="625805BF" w14:textId="77777777" w:rsidR="00F10F19" w:rsidRPr="00F10F19" w:rsidRDefault="00F10F19" w:rsidP="00F10F19">
      <w:pPr>
        <w:widowControl w:val="0"/>
        <w:autoSpaceDE w:val="0"/>
        <w:autoSpaceDN w:val="0"/>
        <w:spacing w:after="120"/>
        <w:contextualSpacing/>
        <w:rPr>
          <w:rFonts w:ascii="Arial" w:eastAsia="Arial" w:hAnsi="Arial" w:cs="Arial"/>
          <w:sz w:val="22"/>
          <w:szCs w:val="22"/>
          <w:lang w:val="en-US"/>
        </w:rPr>
      </w:pPr>
    </w:p>
    <w:p w14:paraId="65E1620D" w14:textId="77777777" w:rsidR="00F10F19" w:rsidRPr="00F10F19" w:rsidRDefault="00F10F19" w:rsidP="00F10F19">
      <w:pPr>
        <w:widowControl w:val="0"/>
        <w:autoSpaceDE w:val="0"/>
        <w:autoSpaceDN w:val="0"/>
        <w:spacing w:before="240" w:after="240"/>
        <w:outlineLvl w:val="0"/>
        <w:rPr>
          <w:rFonts w:ascii="Arial" w:eastAsia="Arial" w:hAnsi="Arial" w:cs="Arial"/>
          <w:b/>
          <w:bCs/>
          <w:sz w:val="32"/>
          <w:szCs w:val="36"/>
          <w:lang w:val="en-US"/>
        </w:rPr>
      </w:pPr>
      <w:r w:rsidRPr="00F10F19">
        <w:rPr>
          <w:rFonts w:ascii="Arial" w:eastAsia="Arial" w:hAnsi="Arial" w:cs="Arial"/>
          <w:b/>
          <w:bCs/>
          <w:sz w:val="32"/>
          <w:szCs w:val="36"/>
          <w:lang w:val="en-US"/>
        </w:rPr>
        <w:t>Assessment rationale: why has this assessment been used for this module?</w:t>
      </w:r>
    </w:p>
    <w:p w14:paraId="127B7B9F" w14:textId="77777777" w:rsidR="00F10F19" w:rsidRPr="00F10F19" w:rsidRDefault="00F10F19" w:rsidP="00F10F19">
      <w:pPr>
        <w:autoSpaceDE w:val="0"/>
        <w:autoSpaceDN w:val="0"/>
        <w:adjustRightInd w:val="0"/>
        <w:jc w:val="both"/>
        <w:rPr>
          <w:rFonts w:ascii="Arial" w:eastAsia="Calibri" w:hAnsi="Arial" w:cs="Arial"/>
          <w:color w:val="000000"/>
          <w:sz w:val="22"/>
          <w:szCs w:val="22"/>
          <w:lang w:val="en-GB"/>
        </w:rPr>
      </w:pPr>
      <w:bookmarkStart w:id="3" w:name="_Hlk159069761"/>
      <w:r w:rsidRPr="00F10F19">
        <w:rPr>
          <w:rFonts w:ascii="Arial" w:eastAsia="Calibri" w:hAnsi="Arial" w:cs="Arial"/>
          <w:color w:val="000000"/>
          <w:sz w:val="22"/>
          <w:szCs w:val="22"/>
          <w:lang w:val="en-GB"/>
        </w:rPr>
        <w:t xml:space="preserve">In terms of the assessment for the module </w:t>
      </w:r>
      <w:r w:rsidRPr="00F10F19">
        <w:rPr>
          <w:rFonts w:ascii="Arial" w:eastAsia="Calibri" w:hAnsi="Arial" w:cs="Arial"/>
          <w:sz w:val="22"/>
          <w:szCs w:val="22"/>
          <w:lang w:val="en-GB"/>
        </w:rPr>
        <w:t xml:space="preserve">overall, the </w:t>
      </w:r>
      <w:r w:rsidRPr="00F10F19">
        <w:rPr>
          <w:rFonts w:ascii="Arial" w:eastAsia="Arial" w:hAnsi="Arial" w:cs="Arial"/>
          <w:sz w:val="22"/>
          <w:szCs w:val="22"/>
          <w:lang w:val="en-US"/>
        </w:rPr>
        <w:t>module</w:t>
      </w:r>
      <w:r w:rsidRPr="00F10F19">
        <w:rPr>
          <w:rFonts w:ascii="Arial" w:eastAsia="Calibri" w:hAnsi="Arial" w:cs="Arial"/>
          <w:sz w:val="22"/>
          <w:szCs w:val="22"/>
          <w:lang w:val="en-GB"/>
        </w:rPr>
        <w:t xml:space="preserve"> has two parts, one related to empire and the other related to state violence/ethnic cleansing, that is </w:t>
      </w:r>
      <w:r w:rsidRPr="00F10F19">
        <w:rPr>
          <w:rFonts w:ascii="Arial" w:eastAsia="Calibri" w:hAnsi="Arial" w:cs="Arial"/>
          <w:color w:val="000000"/>
          <w:sz w:val="22"/>
          <w:szCs w:val="22"/>
          <w:lang w:val="en-GB"/>
        </w:rPr>
        <w:t xml:space="preserve">the primary reason for having two separate assessments for coursework. In addition, </w:t>
      </w:r>
      <w:r w:rsidRPr="00F10F19">
        <w:rPr>
          <w:rFonts w:ascii="Arial" w:eastAsia="Calibri" w:hAnsi="Arial" w:cs="Arial"/>
          <w:color w:val="000000"/>
          <w:sz w:val="22"/>
          <w:szCs w:val="22"/>
          <w:lang w:val="en-US"/>
        </w:rPr>
        <w:t>by having three different forms of assessment in total, student engagement will be maintained, pressure will be reduced on students and more opportunities for feedback will be possible.</w:t>
      </w:r>
    </w:p>
    <w:p w14:paraId="26422FA5" w14:textId="77777777" w:rsidR="00F10F19" w:rsidRPr="00F10F19" w:rsidRDefault="00F10F19" w:rsidP="00F10F19">
      <w:pPr>
        <w:autoSpaceDE w:val="0"/>
        <w:autoSpaceDN w:val="0"/>
        <w:adjustRightInd w:val="0"/>
        <w:jc w:val="both"/>
        <w:rPr>
          <w:rFonts w:ascii="Arial" w:eastAsia="Calibri" w:hAnsi="Arial" w:cs="Arial"/>
          <w:b/>
          <w:bCs/>
          <w:sz w:val="22"/>
          <w:szCs w:val="22"/>
          <w:lang w:val="en-GB"/>
        </w:rPr>
      </w:pPr>
    </w:p>
    <w:p w14:paraId="542A9F36" w14:textId="77777777" w:rsidR="00F10F19" w:rsidRPr="00F10F19" w:rsidRDefault="00F10F19" w:rsidP="00F10F19">
      <w:pPr>
        <w:autoSpaceDE w:val="0"/>
        <w:autoSpaceDN w:val="0"/>
        <w:adjustRightInd w:val="0"/>
        <w:jc w:val="both"/>
        <w:rPr>
          <w:rFonts w:ascii="Arial" w:eastAsia="Calibri" w:hAnsi="Arial" w:cs="Arial"/>
          <w:sz w:val="22"/>
          <w:szCs w:val="22"/>
          <w:lang w:val="en-GB"/>
        </w:rPr>
      </w:pPr>
      <w:r w:rsidRPr="00F10F19">
        <w:rPr>
          <w:rFonts w:ascii="Arial" w:eastAsia="Calibri" w:hAnsi="Arial" w:cs="Arial"/>
          <w:b/>
          <w:bCs/>
          <w:sz w:val="22"/>
          <w:szCs w:val="22"/>
          <w:lang w:val="en-GB"/>
        </w:rPr>
        <w:t xml:space="preserve">Assessment 1: 1,500 words essay </w:t>
      </w:r>
      <w:r w:rsidRPr="00F10F19">
        <w:rPr>
          <w:rFonts w:ascii="Arial" w:eastAsia="Calibri" w:hAnsi="Arial" w:cs="Arial"/>
          <w:color w:val="000000"/>
          <w:sz w:val="22"/>
          <w:szCs w:val="22"/>
          <w:lang w:val="en-GB"/>
        </w:rPr>
        <w:t>(empire part)</w:t>
      </w:r>
      <w:r w:rsidRPr="00F10F19">
        <w:rPr>
          <w:rFonts w:ascii="Arial" w:eastAsia="Calibri" w:hAnsi="Arial" w:cs="Arial"/>
          <w:b/>
          <w:bCs/>
          <w:sz w:val="22"/>
          <w:szCs w:val="22"/>
          <w:lang w:val="en-GB"/>
        </w:rPr>
        <w:t xml:space="preserve"> </w:t>
      </w:r>
      <w:r w:rsidRPr="00F10F19">
        <w:rPr>
          <w:rFonts w:ascii="Arial" w:eastAsia="Calibri" w:hAnsi="Arial" w:cs="Arial"/>
          <w:sz w:val="22"/>
          <w:szCs w:val="22"/>
          <w:lang w:val="en-GB"/>
        </w:rPr>
        <w:t xml:space="preserve">The essay is a short piece of work in the traditional essay format on an aspect of empire (either historical or contemporary) that allows for extended engagement with the material encountered during the </w:t>
      </w:r>
      <w:r w:rsidRPr="00F10F19">
        <w:rPr>
          <w:rFonts w:ascii="Arial" w:eastAsia="Arial" w:hAnsi="Arial" w:cs="Arial"/>
          <w:sz w:val="22"/>
          <w:szCs w:val="22"/>
          <w:lang w:val="en-US"/>
        </w:rPr>
        <w:t>module</w:t>
      </w:r>
      <w:r w:rsidRPr="00F10F19">
        <w:rPr>
          <w:rFonts w:ascii="Arial" w:eastAsia="Calibri" w:hAnsi="Arial" w:cs="Arial"/>
          <w:sz w:val="22"/>
          <w:szCs w:val="22"/>
          <w:lang w:val="en-GB"/>
        </w:rPr>
        <w:t xml:space="preserve"> to assess students’ progress by the end of the module. The essay will especially address LOs 2, 3 and 5.</w:t>
      </w:r>
    </w:p>
    <w:p w14:paraId="022AC565" w14:textId="77777777" w:rsidR="00F10F19" w:rsidRPr="00F10F19" w:rsidRDefault="00F10F19" w:rsidP="00F10F19">
      <w:pPr>
        <w:autoSpaceDE w:val="0"/>
        <w:autoSpaceDN w:val="0"/>
        <w:adjustRightInd w:val="0"/>
        <w:jc w:val="both"/>
        <w:rPr>
          <w:rFonts w:ascii="Arial" w:eastAsia="Calibri" w:hAnsi="Arial" w:cs="Arial"/>
          <w:sz w:val="22"/>
          <w:szCs w:val="22"/>
          <w:lang w:val="en-GB"/>
        </w:rPr>
      </w:pPr>
    </w:p>
    <w:p w14:paraId="3DE360F3" w14:textId="77777777" w:rsidR="00F10F19" w:rsidRPr="00F10F19" w:rsidRDefault="00F10F19" w:rsidP="00F10F19">
      <w:pPr>
        <w:autoSpaceDE w:val="0"/>
        <w:autoSpaceDN w:val="0"/>
        <w:adjustRightInd w:val="0"/>
        <w:jc w:val="both"/>
        <w:rPr>
          <w:rFonts w:ascii="Arial" w:eastAsia="Calibri" w:hAnsi="Arial" w:cs="Arial"/>
          <w:sz w:val="22"/>
          <w:szCs w:val="22"/>
          <w:shd w:val="clear" w:color="auto" w:fill="FFFFFF"/>
          <w:lang w:val="en-GB"/>
        </w:rPr>
      </w:pPr>
      <w:r w:rsidRPr="00F10F19">
        <w:rPr>
          <w:rFonts w:ascii="Arial" w:eastAsia="Calibri" w:hAnsi="Arial" w:cs="Arial"/>
          <w:b/>
          <w:bCs/>
          <w:sz w:val="22"/>
          <w:szCs w:val="22"/>
          <w:lang w:val="en-GB"/>
        </w:rPr>
        <w:t xml:space="preserve">Assessment 2: </w:t>
      </w:r>
      <w:r w:rsidRPr="00F10F19">
        <w:rPr>
          <w:rFonts w:ascii="Arial" w:eastAsia="Calibri" w:hAnsi="Arial" w:cs="Arial"/>
          <w:b/>
          <w:bCs/>
          <w:sz w:val="22"/>
          <w:szCs w:val="22"/>
          <w:shd w:val="clear" w:color="auto" w:fill="FFFFFF"/>
          <w:lang w:val="en-GB"/>
        </w:rPr>
        <w:t xml:space="preserve">An in-class presentation </w:t>
      </w:r>
      <w:r w:rsidRPr="00F10F19">
        <w:rPr>
          <w:rFonts w:ascii="Arial" w:eastAsia="Calibri" w:hAnsi="Arial" w:cs="Arial"/>
          <w:sz w:val="22"/>
          <w:szCs w:val="22"/>
          <w:shd w:val="clear" w:color="auto" w:fill="FFFFFF"/>
          <w:lang w:val="en-GB"/>
        </w:rPr>
        <w:t xml:space="preserve">(state violence and ethnic cleansing part) </w:t>
      </w:r>
    </w:p>
    <w:p w14:paraId="570B1907" w14:textId="77777777" w:rsidR="00F10F19" w:rsidRPr="00F10F19" w:rsidRDefault="00F10F19" w:rsidP="00F10F19">
      <w:pPr>
        <w:autoSpaceDE w:val="0"/>
        <w:autoSpaceDN w:val="0"/>
        <w:adjustRightInd w:val="0"/>
        <w:jc w:val="both"/>
        <w:rPr>
          <w:rFonts w:ascii="Arial" w:eastAsia="Calibri" w:hAnsi="Arial" w:cs="Arial"/>
          <w:color w:val="000000"/>
          <w:sz w:val="22"/>
          <w:szCs w:val="22"/>
          <w:shd w:val="clear" w:color="auto" w:fill="FFFFFF"/>
          <w:lang w:val="en-US"/>
        </w:rPr>
      </w:pPr>
      <w:r w:rsidRPr="00F10F19">
        <w:rPr>
          <w:rFonts w:ascii="Arial" w:eastAsia="Calibri" w:hAnsi="Arial" w:cs="Arial"/>
          <w:sz w:val="22"/>
          <w:szCs w:val="22"/>
          <w:shd w:val="clear" w:color="auto" w:fill="FFFFFF"/>
          <w:lang w:val="en-GB"/>
        </w:rPr>
        <w:t xml:space="preserve">on an aspect of state violence, ethnic cleansing or a case study. </w:t>
      </w:r>
      <w:r w:rsidRPr="00F10F19">
        <w:rPr>
          <w:rFonts w:ascii="Arial" w:eastAsia="Calibri" w:hAnsi="Arial" w:cs="Arial"/>
          <w:color w:val="000000"/>
          <w:sz w:val="22"/>
          <w:szCs w:val="22"/>
          <w:shd w:val="clear" w:color="auto" w:fill="FFFFFF"/>
          <w:lang w:val="en-GB"/>
        </w:rPr>
        <w:t xml:space="preserve">The presentations will be done in pairs but will be assessed individually. Each pair will choose a topic from a list provided to them at the beginning of term. Within the pairs presenting each student will choose an aspect of the topic and present a power-point presentation for 10 minutes each (presentations will last 20 minutes in total). After the end of the presentations, students will be asked questions by other students and the module leader to test their analytical skills, comprehension and ability to think on their feet within the wider context of the topic and the course. The presentations </w:t>
      </w:r>
      <w:r w:rsidRPr="00F10F19">
        <w:rPr>
          <w:rFonts w:ascii="Arial" w:eastAsia="Calibri" w:hAnsi="Arial" w:cs="Arial"/>
          <w:sz w:val="22"/>
          <w:szCs w:val="22"/>
          <w:shd w:val="clear" w:color="auto" w:fill="FFFFFF"/>
          <w:lang w:val="en-GB"/>
        </w:rPr>
        <w:t xml:space="preserve">will evaluate students' communication skills, analytical thinking, and application of theoretical concepts. </w:t>
      </w:r>
      <w:r w:rsidRPr="00F10F19">
        <w:rPr>
          <w:rFonts w:ascii="Arial" w:eastAsia="Calibri" w:hAnsi="Arial" w:cs="Arial"/>
          <w:color w:val="000000"/>
          <w:sz w:val="22"/>
          <w:szCs w:val="22"/>
          <w:shd w:val="clear" w:color="auto" w:fill="FFFFFF"/>
          <w:lang w:val="en-GB"/>
        </w:rPr>
        <w:t xml:space="preserve">In addition, the presentations will help to enhance public speaking and problem-solving. These skills boost employability in fields such as diplomacy, international organizations, business, consulting, policy analysis, public affairs, lobbying, and related careers, where clear communication and critical thinking are essential. </w:t>
      </w:r>
      <w:r w:rsidRPr="00F10F19">
        <w:rPr>
          <w:rFonts w:ascii="Arial" w:eastAsia="Calibri" w:hAnsi="Arial" w:cs="Arial"/>
          <w:sz w:val="22"/>
          <w:szCs w:val="22"/>
          <w:shd w:val="clear" w:color="auto" w:fill="FFFFFF"/>
          <w:lang w:val="en-GB"/>
        </w:rPr>
        <w:t>This type of assessment directly addresses LOs 4, 5 and 6.</w:t>
      </w:r>
    </w:p>
    <w:p w14:paraId="5FCC0EB6" w14:textId="77777777" w:rsidR="00F10F19" w:rsidRPr="00F10F19" w:rsidRDefault="00F10F19" w:rsidP="00F10F19">
      <w:pPr>
        <w:autoSpaceDE w:val="0"/>
        <w:autoSpaceDN w:val="0"/>
        <w:adjustRightInd w:val="0"/>
        <w:jc w:val="both"/>
        <w:rPr>
          <w:rFonts w:ascii="Arial" w:eastAsia="Calibri" w:hAnsi="Arial" w:cs="Arial"/>
          <w:sz w:val="22"/>
          <w:szCs w:val="22"/>
          <w:shd w:val="clear" w:color="auto" w:fill="FFFFFF"/>
          <w:lang w:val="en-GB"/>
        </w:rPr>
      </w:pPr>
    </w:p>
    <w:p w14:paraId="325D4EE9" w14:textId="77777777" w:rsidR="00F10F19" w:rsidRPr="00F10F19" w:rsidRDefault="00F10F19" w:rsidP="00F10F19">
      <w:pPr>
        <w:autoSpaceDE w:val="0"/>
        <w:autoSpaceDN w:val="0"/>
        <w:adjustRightInd w:val="0"/>
        <w:jc w:val="both"/>
        <w:rPr>
          <w:rFonts w:ascii="Arial" w:eastAsia="Calibri" w:hAnsi="Arial" w:cs="Arial"/>
          <w:color w:val="000000"/>
          <w:sz w:val="22"/>
          <w:szCs w:val="22"/>
          <w:shd w:val="clear" w:color="auto" w:fill="FFFFFF"/>
          <w:lang w:val="en-GB"/>
        </w:rPr>
      </w:pPr>
      <w:r w:rsidRPr="00F10F19">
        <w:rPr>
          <w:rFonts w:ascii="Arial" w:eastAsia="Calibri" w:hAnsi="Arial" w:cs="Arial"/>
          <w:color w:val="000000"/>
          <w:sz w:val="22"/>
          <w:szCs w:val="22"/>
          <w:shd w:val="clear" w:color="auto" w:fill="FFFFFF"/>
          <w:lang w:val="en-GB"/>
        </w:rPr>
        <w:t>Students will also be informed about the ethical considerations of AI usage in preparing their essays and presentations. They may use it for tasks such as preliminary research, literature inquiry, brainstorming ideas, fact-checking, cross-referencing sources, and preparing for potential Q&amp;A sessions.</w:t>
      </w:r>
    </w:p>
    <w:p w14:paraId="40A8FE9C" w14:textId="77777777" w:rsidR="00F10F19" w:rsidRPr="00F10F19" w:rsidRDefault="00F10F19" w:rsidP="00F10F19">
      <w:pPr>
        <w:widowControl w:val="0"/>
        <w:autoSpaceDE w:val="0"/>
        <w:autoSpaceDN w:val="0"/>
        <w:spacing w:after="120"/>
        <w:contextualSpacing/>
        <w:jc w:val="both"/>
        <w:rPr>
          <w:rFonts w:ascii="Arial" w:eastAsia="Arial" w:hAnsi="Arial" w:cs="Arial"/>
          <w:i/>
          <w:iCs/>
          <w:sz w:val="22"/>
          <w:szCs w:val="22"/>
          <w:shd w:val="clear" w:color="auto" w:fill="FFFFFF"/>
          <w:lang w:val="en-GB"/>
        </w:rPr>
      </w:pPr>
    </w:p>
    <w:p w14:paraId="2E3C88D4" w14:textId="77777777" w:rsidR="00F10F19" w:rsidRPr="00F10F19" w:rsidRDefault="00F10F19" w:rsidP="00F10F19">
      <w:pPr>
        <w:widowControl w:val="0"/>
        <w:autoSpaceDE w:val="0"/>
        <w:autoSpaceDN w:val="0"/>
        <w:spacing w:after="120"/>
        <w:contextualSpacing/>
        <w:jc w:val="both"/>
        <w:rPr>
          <w:rFonts w:ascii="Arial" w:eastAsia="Arial" w:hAnsi="Arial" w:cs="Arial"/>
          <w:sz w:val="22"/>
          <w:szCs w:val="22"/>
          <w:shd w:val="clear" w:color="auto" w:fill="FFFFFF"/>
          <w:lang w:val="en-GB"/>
        </w:rPr>
      </w:pPr>
      <w:r w:rsidRPr="00F10F19">
        <w:rPr>
          <w:rFonts w:ascii="Arial" w:eastAsia="Arial" w:hAnsi="Arial" w:cs="Arial"/>
          <w:b/>
          <w:bCs/>
          <w:sz w:val="22"/>
          <w:szCs w:val="22"/>
          <w:shd w:val="clear" w:color="auto" w:fill="FFFFFF"/>
          <w:lang w:val="en-US"/>
        </w:rPr>
        <w:t xml:space="preserve">The final exam, 90 minutes, </w:t>
      </w:r>
      <w:r w:rsidRPr="00F10F19">
        <w:rPr>
          <w:rFonts w:ascii="Arial" w:eastAsia="Arial" w:hAnsi="Arial" w:cs="Arial"/>
          <w:sz w:val="22"/>
          <w:szCs w:val="22"/>
          <w:shd w:val="clear" w:color="auto" w:fill="FFFFFF"/>
          <w:lang w:val="en-US"/>
        </w:rPr>
        <w:t xml:space="preserve">consisting of essay-type questions, is designed to assess students' knowledge and understanding of key concepts covered in the module. </w:t>
      </w:r>
      <w:r w:rsidRPr="00F10F19">
        <w:rPr>
          <w:rFonts w:ascii="Arial" w:eastAsia="Arial" w:hAnsi="Arial" w:cs="Arial"/>
          <w:sz w:val="22"/>
          <w:szCs w:val="22"/>
          <w:shd w:val="clear" w:color="auto" w:fill="FFFFFF"/>
          <w:lang w:val="en-GB"/>
        </w:rPr>
        <w:t xml:space="preserve">One of the essay questions related to each part of the module will ask students to provide their solutions to current international problems related to empire and state violence/ethnic cleansing based on models discussed during the module. The exam </w:t>
      </w:r>
      <w:r w:rsidRPr="00F10F19">
        <w:rPr>
          <w:rFonts w:ascii="Arial" w:eastAsia="Arial" w:hAnsi="Arial" w:cs="Arial"/>
          <w:sz w:val="22"/>
          <w:szCs w:val="22"/>
          <w:shd w:val="clear" w:color="auto" w:fill="FFFFFF"/>
          <w:lang w:val="en-US"/>
        </w:rPr>
        <w:t xml:space="preserve">will encourage students to think analytically, </w:t>
      </w:r>
      <w:proofErr w:type="spellStart"/>
      <w:r w:rsidRPr="00F10F19">
        <w:rPr>
          <w:rFonts w:ascii="Arial" w:eastAsia="Arial" w:hAnsi="Arial" w:cs="Arial"/>
          <w:sz w:val="22"/>
          <w:szCs w:val="22"/>
          <w:shd w:val="clear" w:color="auto" w:fill="FFFFFF"/>
          <w:lang w:val="en-US"/>
        </w:rPr>
        <w:t>synthesise</w:t>
      </w:r>
      <w:proofErr w:type="spellEnd"/>
      <w:r w:rsidRPr="00F10F19">
        <w:rPr>
          <w:rFonts w:ascii="Arial" w:eastAsia="Arial" w:hAnsi="Arial" w:cs="Arial"/>
          <w:sz w:val="22"/>
          <w:szCs w:val="22"/>
          <w:shd w:val="clear" w:color="auto" w:fill="FFFFFF"/>
          <w:lang w:val="en-US"/>
        </w:rPr>
        <w:t xml:space="preserve"> information and propose solutions to key issues related to empire and state violence/ethnic cleansing in the contemporary world. The essay questions will be answered in an exam because in careers such as diplomacy, policy analysis, international relations, and consulting, the ability to analyze and solve issues succinctly and under time pressure are highly valued.</w:t>
      </w:r>
      <w:bookmarkStart w:id="4" w:name="_Hlk159070281"/>
      <w:r w:rsidRPr="00F10F19">
        <w:rPr>
          <w:rFonts w:ascii="Arial" w:eastAsia="Arial" w:hAnsi="Arial" w:cs="Arial"/>
          <w:sz w:val="22"/>
          <w:szCs w:val="22"/>
          <w:shd w:val="clear" w:color="auto" w:fill="FFFFFF"/>
          <w:lang w:val="en-US"/>
        </w:rPr>
        <w:t xml:space="preserve"> This type of assessment directly addresses LOs 1 and 4.</w:t>
      </w:r>
      <w:bookmarkEnd w:id="3"/>
      <w:bookmarkEnd w:id="4"/>
    </w:p>
    <w:p w14:paraId="635A04E8" w14:textId="77777777" w:rsidR="00F10F19" w:rsidRPr="00F10F19" w:rsidRDefault="00F10F19" w:rsidP="00F10F19">
      <w:pPr>
        <w:widowControl w:val="0"/>
        <w:autoSpaceDE w:val="0"/>
        <w:autoSpaceDN w:val="0"/>
        <w:spacing w:before="240" w:after="240"/>
        <w:outlineLvl w:val="0"/>
        <w:rPr>
          <w:rFonts w:ascii="Arial" w:eastAsia="Arial" w:hAnsi="Arial" w:cs="Arial"/>
          <w:b/>
          <w:bCs/>
          <w:sz w:val="32"/>
          <w:szCs w:val="36"/>
          <w:lang w:val="en-US"/>
        </w:rPr>
      </w:pPr>
      <w:r w:rsidRPr="00F10F19">
        <w:rPr>
          <w:rFonts w:ascii="Arial" w:eastAsia="Arial" w:hAnsi="Arial" w:cs="Arial"/>
          <w:b/>
          <w:bCs/>
          <w:sz w:val="32"/>
          <w:szCs w:val="36"/>
          <w:lang w:val="en-US"/>
        </w:rPr>
        <w:t>Assessment criteria: what criteria will be used to assess my work on this module?</w:t>
      </w:r>
    </w:p>
    <w:p w14:paraId="0F7B1499" w14:textId="77777777" w:rsidR="00F10F19" w:rsidRPr="00F10F19" w:rsidRDefault="00F10F19" w:rsidP="00F10F19">
      <w:pPr>
        <w:widowControl w:val="0"/>
        <w:suppressAutoHyphens/>
        <w:spacing w:after="120"/>
        <w:jc w:val="both"/>
        <w:rPr>
          <w:rFonts w:ascii="Arial" w:eastAsia="WenQuanYi Micro Hei" w:hAnsi="Arial" w:cs="Arial"/>
          <w:kern w:val="1"/>
          <w:sz w:val="22"/>
          <w:szCs w:val="22"/>
          <w:lang w:val="en-US" w:eastAsia="pl-PL" w:bidi="hi-IN"/>
        </w:rPr>
      </w:pPr>
      <w:r w:rsidRPr="00F10F19">
        <w:rPr>
          <w:rFonts w:ascii="Arial" w:eastAsia="WenQuanYi Micro Hei" w:hAnsi="Arial" w:cs="Arial"/>
          <w:b/>
          <w:bCs/>
          <w:kern w:val="1"/>
          <w:sz w:val="22"/>
          <w:szCs w:val="22"/>
          <w:lang w:val="en-GB" w:eastAsia="pl-PL" w:bidi="hi-IN"/>
        </w:rPr>
        <w:t>As for the essay</w:t>
      </w:r>
      <w:r w:rsidRPr="00F10F19">
        <w:rPr>
          <w:rFonts w:ascii="Arial" w:eastAsia="WenQuanYi Micro Hei" w:hAnsi="Arial" w:cs="Arial"/>
          <w:kern w:val="1"/>
          <w:sz w:val="22"/>
          <w:szCs w:val="22"/>
          <w:lang w:val="en-GB" w:eastAsia="pl-PL" w:bidi="hi-IN"/>
        </w:rPr>
        <w:t xml:space="preserve"> </w:t>
      </w:r>
      <w:r w:rsidRPr="00F10F19">
        <w:rPr>
          <w:rFonts w:ascii="Arial" w:eastAsia="WenQuanYi Micro Hei" w:hAnsi="Arial" w:cs="Arial"/>
          <w:kern w:val="1"/>
          <w:sz w:val="22"/>
          <w:szCs w:val="22"/>
          <w:lang w:val="en-US" w:eastAsia="pl-PL" w:bidi="hi-IN"/>
        </w:rPr>
        <w:t xml:space="preserve">students’ work it will be evaluated based on five equally weighted criteria, each worth 20% of the final mark: the quality of writing, the use of evidence, the quality of </w:t>
      </w:r>
      <w:r w:rsidRPr="00F10F19">
        <w:rPr>
          <w:rFonts w:ascii="Arial" w:eastAsia="WenQuanYi Micro Hei" w:hAnsi="Arial" w:cs="Arial"/>
          <w:kern w:val="1"/>
          <w:sz w:val="22"/>
          <w:szCs w:val="22"/>
          <w:lang w:val="en-US" w:eastAsia="pl-PL" w:bidi="hi-IN"/>
        </w:rPr>
        <w:lastRenderedPageBreak/>
        <w:t>argument and analysis, the understanding of context and factual accuracy, and the use of references and citations.</w:t>
      </w:r>
    </w:p>
    <w:p w14:paraId="7FD1DCAA" w14:textId="77777777" w:rsidR="00F10F19" w:rsidRPr="00F10F19" w:rsidRDefault="00F10F19" w:rsidP="00F10F19">
      <w:pPr>
        <w:widowControl w:val="0"/>
        <w:suppressAutoHyphens/>
        <w:spacing w:after="120"/>
        <w:jc w:val="both"/>
        <w:rPr>
          <w:rFonts w:ascii="Arial" w:eastAsia="WenQuanYi Micro Hei" w:hAnsi="Arial" w:cs="Arial"/>
          <w:kern w:val="1"/>
          <w:sz w:val="22"/>
          <w:szCs w:val="22"/>
          <w:lang w:val="en-US" w:eastAsia="pl-PL" w:bidi="hi-IN"/>
        </w:rPr>
      </w:pPr>
      <w:r w:rsidRPr="00F10F19">
        <w:rPr>
          <w:rFonts w:ascii="Arial" w:eastAsia="WenQuanYi Micro Hei" w:hAnsi="Arial" w:cs="Arial"/>
          <w:b/>
          <w:bCs/>
          <w:kern w:val="1"/>
          <w:sz w:val="22"/>
          <w:szCs w:val="22"/>
          <w:shd w:val="clear" w:color="auto" w:fill="FFFFFF"/>
          <w:lang w:val="en-GB" w:eastAsia="pl-PL" w:bidi="hi-IN"/>
        </w:rPr>
        <w:t>As for the presentations</w:t>
      </w:r>
      <w:r w:rsidRPr="00F10F19">
        <w:rPr>
          <w:rFonts w:ascii="Arial" w:eastAsia="WenQuanYi Micro Hei" w:hAnsi="Arial" w:cs="Arial"/>
          <w:kern w:val="1"/>
          <w:sz w:val="22"/>
          <w:szCs w:val="22"/>
          <w:shd w:val="clear" w:color="auto" w:fill="FFFFFF"/>
          <w:lang w:val="en-GB" w:eastAsia="pl-PL" w:bidi="hi-IN"/>
        </w:rPr>
        <w:t xml:space="preserve">, it will be graded and assessed </w:t>
      </w:r>
      <w:r w:rsidRPr="00F10F19">
        <w:rPr>
          <w:rFonts w:ascii="Arial" w:eastAsia="WenQuanYi Micro Hei" w:hAnsi="Arial" w:cs="Arial"/>
          <w:kern w:val="1"/>
          <w:sz w:val="22"/>
          <w:szCs w:val="22"/>
          <w:shd w:val="clear" w:color="auto" w:fill="FFFFFF"/>
          <w:lang w:val="en-US" w:eastAsia="pl-PL" w:bidi="hi-IN"/>
        </w:rPr>
        <w:t xml:space="preserve">based on the following criteria, each worth 20%: (1) clarity of explanation, (2) use of sources, (3) quality of argument and analysis, (4) contextual understanding and factual accuracy, and (5) ability to answer questions. </w:t>
      </w:r>
    </w:p>
    <w:p w14:paraId="310B509B" w14:textId="77777777" w:rsidR="00F10F19" w:rsidRPr="00F10F19" w:rsidRDefault="00F10F19" w:rsidP="00F10F19">
      <w:pPr>
        <w:widowControl w:val="0"/>
        <w:suppressAutoHyphens/>
        <w:spacing w:after="120"/>
        <w:jc w:val="both"/>
        <w:rPr>
          <w:rFonts w:ascii="Arial" w:eastAsia="WenQuanYi Micro Hei" w:hAnsi="Arial" w:cs="Arial"/>
          <w:kern w:val="1"/>
          <w:sz w:val="22"/>
          <w:szCs w:val="22"/>
          <w:lang w:val="en-US" w:eastAsia="pl-PL" w:bidi="hi-IN"/>
        </w:rPr>
      </w:pPr>
      <w:r w:rsidRPr="00F10F19">
        <w:rPr>
          <w:rFonts w:ascii="Arial" w:eastAsia="WenQuanYi Micro Hei" w:hAnsi="Arial" w:cs="Arial"/>
          <w:b/>
          <w:bCs/>
          <w:kern w:val="1"/>
          <w:sz w:val="22"/>
          <w:szCs w:val="22"/>
          <w:lang w:val="en-US" w:eastAsia="pl-PL" w:bidi="hi-IN"/>
        </w:rPr>
        <w:t>As for the final exam</w:t>
      </w:r>
      <w:r w:rsidRPr="00F10F19">
        <w:rPr>
          <w:rFonts w:ascii="Arial" w:eastAsia="WenQuanYi Micro Hei" w:hAnsi="Arial" w:cs="Arial"/>
          <w:kern w:val="1"/>
          <w:sz w:val="22"/>
          <w:szCs w:val="22"/>
          <w:lang w:val="en-US" w:eastAsia="pl-PL" w:bidi="hi-IN"/>
        </w:rPr>
        <w:t xml:space="preserve">, it will be graded and assessed based on the following criteria, each worth 20%: (1) consistency of knowledge, (2) background knowledge, (3) clarity, (4) critical analysis, and (5) quality of writing. Students will be expected to draw on some general literature related to the </w:t>
      </w:r>
      <w:r w:rsidRPr="00F10F19">
        <w:rPr>
          <w:rFonts w:ascii="Arial" w:eastAsia="Arial" w:hAnsi="Arial" w:cs="Arial"/>
          <w:kern w:val="1"/>
          <w:sz w:val="22"/>
          <w:szCs w:val="22"/>
          <w:lang w:val="en-US" w:eastAsia="pl-PL" w:bidi="hi-IN"/>
        </w:rPr>
        <w:t>module</w:t>
      </w:r>
      <w:r w:rsidRPr="00F10F19">
        <w:rPr>
          <w:rFonts w:ascii="Arial" w:eastAsia="WenQuanYi Micro Hei" w:hAnsi="Arial" w:cs="Arial"/>
          <w:kern w:val="1"/>
          <w:sz w:val="22"/>
          <w:szCs w:val="22"/>
          <w:lang w:val="en-US" w:eastAsia="pl-PL" w:bidi="hi-IN"/>
        </w:rPr>
        <w:t xml:space="preserve"> during the exam and will be rewarded further if they use more developed literature related to case studies and theoretical works.</w:t>
      </w:r>
    </w:p>
    <w:p w14:paraId="1A2024E6" w14:textId="77777777" w:rsidR="00F10F19" w:rsidRPr="00F10F19" w:rsidRDefault="00F10F19" w:rsidP="00F10F19">
      <w:pPr>
        <w:widowControl w:val="0"/>
        <w:suppressAutoHyphens/>
        <w:spacing w:after="120"/>
        <w:jc w:val="both"/>
        <w:rPr>
          <w:rFonts w:ascii="Arial" w:eastAsia="WenQuanYi Micro Hei" w:hAnsi="Arial" w:cs="Arial"/>
          <w:kern w:val="1"/>
          <w:sz w:val="22"/>
          <w:szCs w:val="22"/>
          <w:lang w:val="en-GB" w:eastAsia="pl-PL" w:bidi="hi-IN"/>
        </w:rPr>
      </w:pPr>
      <w:r w:rsidRPr="00F10F19">
        <w:rPr>
          <w:rFonts w:ascii="Arial" w:eastAsia="WenQuanYi Micro Hei" w:hAnsi="Arial" w:cs="Arial"/>
          <w:kern w:val="1"/>
          <w:sz w:val="22"/>
          <w:szCs w:val="22"/>
          <w:lang w:val="en-GB" w:eastAsia="pl-PL" w:bidi="hi-IN"/>
        </w:rPr>
        <w:t>The assessments in general will examine to what extent the student has demonstrated the ability to:</w:t>
      </w:r>
    </w:p>
    <w:p w14:paraId="5E34562F" w14:textId="77777777" w:rsidR="00F10F19" w:rsidRPr="00F10F19" w:rsidRDefault="00F10F19" w:rsidP="00F10F19">
      <w:pPr>
        <w:widowControl w:val="0"/>
        <w:numPr>
          <w:ilvl w:val="0"/>
          <w:numId w:val="1"/>
        </w:numPr>
        <w:suppressAutoHyphens/>
        <w:autoSpaceDE w:val="0"/>
        <w:autoSpaceDN w:val="0"/>
        <w:spacing w:after="120"/>
        <w:contextualSpacing/>
        <w:jc w:val="both"/>
        <w:rPr>
          <w:rFonts w:ascii="Arial" w:eastAsia="WenQuanYi Micro Hei" w:hAnsi="Arial" w:cs="Arial"/>
          <w:kern w:val="1"/>
          <w:sz w:val="22"/>
          <w:szCs w:val="22"/>
          <w:lang w:val="en-GB" w:eastAsia="pl-PL" w:bidi="hi-IN"/>
        </w:rPr>
      </w:pPr>
      <w:bookmarkStart w:id="5" w:name="_Hlk159070637"/>
      <w:r w:rsidRPr="00F10F19">
        <w:rPr>
          <w:rFonts w:ascii="Arial" w:eastAsia="WenQuanYi Micro Hei" w:hAnsi="Arial" w:cs="Arial"/>
          <w:kern w:val="1"/>
          <w:sz w:val="22"/>
          <w:szCs w:val="22"/>
          <w:lang w:val="en-GB" w:eastAsia="pl-PL" w:bidi="hi-IN"/>
        </w:rPr>
        <w:t>Critically evaluate suitably chosen case studies</w:t>
      </w:r>
    </w:p>
    <w:p w14:paraId="18DB1F9E" w14:textId="77777777" w:rsidR="00F10F19" w:rsidRPr="00F10F19" w:rsidRDefault="00F10F19" w:rsidP="00F10F19">
      <w:pPr>
        <w:widowControl w:val="0"/>
        <w:numPr>
          <w:ilvl w:val="0"/>
          <w:numId w:val="1"/>
        </w:numPr>
        <w:suppressAutoHyphens/>
        <w:autoSpaceDE w:val="0"/>
        <w:autoSpaceDN w:val="0"/>
        <w:spacing w:after="120"/>
        <w:contextualSpacing/>
        <w:jc w:val="both"/>
        <w:rPr>
          <w:rFonts w:ascii="Arial" w:eastAsia="WenQuanYi Micro Hei" w:hAnsi="Arial" w:cs="Arial"/>
          <w:kern w:val="1"/>
          <w:sz w:val="22"/>
          <w:szCs w:val="22"/>
          <w:lang w:val="en-GB" w:eastAsia="pl-PL" w:bidi="hi-IN"/>
        </w:rPr>
      </w:pPr>
      <w:r w:rsidRPr="00F10F19">
        <w:rPr>
          <w:rFonts w:ascii="Arial" w:eastAsia="WenQuanYi Micro Hei" w:hAnsi="Arial" w:cs="Arial"/>
          <w:kern w:val="1"/>
          <w:sz w:val="22"/>
          <w:szCs w:val="22"/>
          <w:lang w:val="en-GB" w:eastAsia="pl-PL" w:bidi="hi-IN"/>
        </w:rPr>
        <w:t>Illustrate an understanding of how these case studies fit into wider historical trends</w:t>
      </w:r>
    </w:p>
    <w:p w14:paraId="2958C25F" w14:textId="77777777" w:rsidR="00F10F19" w:rsidRPr="00F10F19" w:rsidRDefault="00F10F19" w:rsidP="00F10F19">
      <w:pPr>
        <w:widowControl w:val="0"/>
        <w:numPr>
          <w:ilvl w:val="0"/>
          <w:numId w:val="1"/>
        </w:numPr>
        <w:suppressAutoHyphens/>
        <w:autoSpaceDE w:val="0"/>
        <w:autoSpaceDN w:val="0"/>
        <w:spacing w:after="120"/>
        <w:contextualSpacing/>
        <w:jc w:val="both"/>
        <w:rPr>
          <w:rFonts w:ascii="Arial" w:eastAsia="WenQuanYi Micro Hei" w:hAnsi="Arial" w:cs="Arial"/>
          <w:kern w:val="1"/>
          <w:sz w:val="22"/>
          <w:szCs w:val="22"/>
          <w:lang w:val="en-GB" w:eastAsia="pl-PL" w:bidi="hi-IN"/>
        </w:rPr>
      </w:pPr>
      <w:r w:rsidRPr="00F10F19">
        <w:rPr>
          <w:rFonts w:ascii="Arial" w:eastAsia="WenQuanYi Micro Hei" w:hAnsi="Arial" w:cs="Arial"/>
          <w:kern w:val="1"/>
          <w:sz w:val="22"/>
          <w:szCs w:val="22"/>
          <w:lang w:val="en-GB" w:eastAsia="pl-PL" w:bidi="hi-IN"/>
        </w:rPr>
        <w:t>Apply theoretical frameworks in the analysis of relevant case studies</w:t>
      </w:r>
    </w:p>
    <w:p w14:paraId="4D258569" w14:textId="77777777" w:rsidR="00F10F19" w:rsidRPr="00F10F19" w:rsidRDefault="00F10F19" w:rsidP="00F10F19">
      <w:pPr>
        <w:widowControl w:val="0"/>
        <w:numPr>
          <w:ilvl w:val="0"/>
          <w:numId w:val="1"/>
        </w:numPr>
        <w:suppressAutoHyphens/>
        <w:autoSpaceDE w:val="0"/>
        <w:autoSpaceDN w:val="0"/>
        <w:spacing w:after="120"/>
        <w:contextualSpacing/>
        <w:jc w:val="both"/>
        <w:rPr>
          <w:rFonts w:ascii="Arial" w:eastAsia="WenQuanYi Micro Hei" w:hAnsi="Arial" w:cs="Arial"/>
          <w:kern w:val="1"/>
          <w:sz w:val="22"/>
          <w:szCs w:val="22"/>
          <w:lang w:val="en-GB" w:eastAsia="pl-PL" w:bidi="hi-IN"/>
        </w:rPr>
      </w:pPr>
      <w:r w:rsidRPr="00F10F19">
        <w:rPr>
          <w:rFonts w:ascii="Arial" w:eastAsia="WenQuanYi Micro Hei" w:hAnsi="Arial" w:cs="Arial"/>
          <w:kern w:val="1"/>
          <w:sz w:val="22"/>
          <w:szCs w:val="22"/>
          <w:lang w:val="en-GB" w:eastAsia="pl-PL" w:bidi="hi-IN"/>
        </w:rPr>
        <w:t>Examine how imperial thinking and state violence still have relevance in the present</w:t>
      </w:r>
    </w:p>
    <w:p w14:paraId="337BF140" w14:textId="77777777" w:rsidR="00F10F19" w:rsidRPr="00F10F19" w:rsidRDefault="00F10F19" w:rsidP="00F10F19">
      <w:pPr>
        <w:widowControl w:val="0"/>
        <w:numPr>
          <w:ilvl w:val="0"/>
          <w:numId w:val="1"/>
        </w:numPr>
        <w:suppressAutoHyphens/>
        <w:autoSpaceDE w:val="0"/>
        <w:autoSpaceDN w:val="0"/>
        <w:spacing w:after="120"/>
        <w:contextualSpacing/>
        <w:jc w:val="both"/>
        <w:rPr>
          <w:rFonts w:ascii="Liberation Serif" w:eastAsia="WenQuanYi Micro Hei" w:hAnsi="Liberation Serif" w:cs="Lohit Hindi"/>
          <w:kern w:val="1"/>
          <w:lang w:val="en-GB" w:eastAsia="pl-PL" w:bidi="hi-IN"/>
        </w:rPr>
      </w:pPr>
      <w:r w:rsidRPr="00F10F19">
        <w:rPr>
          <w:rFonts w:ascii="Arial" w:eastAsia="WenQuanYi Micro Hei" w:hAnsi="Arial" w:cs="Arial"/>
          <w:kern w:val="1"/>
          <w:sz w:val="22"/>
          <w:szCs w:val="22"/>
          <w:lang w:val="en-GB" w:eastAsia="pl-PL" w:bidi="hi-IN"/>
        </w:rPr>
        <w:t>Critically evaluate how imperial vestiges of power could impact the future</w:t>
      </w:r>
    </w:p>
    <w:bookmarkEnd w:id="5"/>
    <w:p w14:paraId="3C4CBD91" w14:textId="77777777" w:rsidR="00F10F19" w:rsidRDefault="00F10F19" w:rsidP="00F10F19">
      <w:pPr>
        <w:widowControl w:val="0"/>
        <w:autoSpaceDE w:val="0"/>
        <w:autoSpaceDN w:val="0"/>
        <w:spacing w:before="240" w:after="240"/>
        <w:outlineLvl w:val="0"/>
        <w:rPr>
          <w:rFonts w:ascii="Arial" w:eastAsia="Arial" w:hAnsi="Arial" w:cs="Arial"/>
          <w:sz w:val="22"/>
          <w:szCs w:val="22"/>
          <w:shd w:val="clear" w:color="auto" w:fill="FFFFFF"/>
          <w:lang w:val="en-GB"/>
        </w:rPr>
      </w:pPr>
    </w:p>
    <w:p w14:paraId="01579FC2" w14:textId="2A81454F" w:rsidR="00F10F19" w:rsidRPr="00F10F19" w:rsidRDefault="00F10F19" w:rsidP="00F10F19">
      <w:pPr>
        <w:widowControl w:val="0"/>
        <w:autoSpaceDE w:val="0"/>
        <w:autoSpaceDN w:val="0"/>
        <w:spacing w:before="240" w:after="240"/>
        <w:outlineLvl w:val="0"/>
        <w:rPr>
          <w:rFonts w:ascii="Arial" w:eastAsia="Arial" w:hAnsi="Arial" w:cs="Arial"/>
          <w:b/>
          <w:bCs/>
          <w:sz w:val="32"/>
          <w:szCs w:val="32"/>
          <w:lang w:val="en-US"/>
        </w:rPr>
      </w:pPr>
      <w:r w:rsidRPr="00F10F19">
        <w:rPr>
          <w:rFonts w:ascii="Arial" w:eastAsia="Arial" w:hAnsi="Arial" w:cs="Arial"/>
          <w:b/>
          <w:bCs/>
          <w:sz w:val="32"/>
          <w:szCs w:val="32"/>
          <w:lang w:val="en-US"/>
        </w:rPr>
        <w:t>Sources</w:t>
      </w:r>
    </w:p>
    <w:p w14:paraId="19988A4E" w14:textId="77777777" w:rsidR="00F10F19" w:rsidRPr="00F10F19" w:rsidRDefault="00F10F19" w:rsidP="00F10F19">
      <w:pPr>
        <w:shd w:val="clear" w:color="auto" w:fill="FFFFFF"/>
        <w:spacing w:line="276" w:lineRule="auto"/>
        <w:contextualSpacing/>
        <w:jc w:val="both"/>
        <w:outlineLvl w:val="4"/>
        <w:rPr>
          <w:rFonts w:ascii="Arial" w:eastAsia="Calibri" w:hAnsi="Arial" w:cs="Arial"/>
          <w:kern w:val="2"/>
          <w:sz w:val="22"/>
          <w:szCs w:val="22"/>
          <w:lang w:val="en-GB" w:eastAsia="en-GB"/>
          <w14:ligatures w14:val="standardContextual"/>
        </w:rPr>
      </w:pPr>
      <w:r w:rsidRPr="00F10F19">
        <w:rPr>
          <w:rFonts w:ascii="Arial" w:eastAsia="Calibri" w:hAnsi="Arial" w:cs="Arial"/>
          <w:kern w:val="2"/>
          <w:sz w:val="22"/>
          <w:szCs w:val="22"/>
          <w:lang w:val="en-GB" w:eastAsia="en-GB"/>
          <w14:ligatures w14:val="standardContextual"/>
        </w:rPr>
        <w:t xml:space="preserve">The sources below are a taster of what students will be expected to engage with over </w:t>
      </w:r>
      <w:proofErr w:type="gramStart"/>
      <w:r w:rsidRPr="00F10F19">
        <w:rPr>
          <w:rFonts w:ascii="Arial" w:eastAsia="Calibri" w:hAnsi="Arial" w:cs="Arial"/>
          <w:kern w:val="2"/>
          <w:sz w:val="22"/>
          <w:szCs w:val="22"/>
          <w:lang w:val="en-GB" w:eastAsia="en-GB"/>
          <w14:ligatures w14:val="standardContextual"/>
        </w:rPr>
        <w:t xml:space="preserve">the </w:t>
      </w:r>
      <w:r w:rsidRPr="00F10F19">
        <w:rPr>
          <w:rFonts w:ascii="Arial" w:eastAsia="Arial" w:hAnsi="Arial" w:cs="Arial"/>
          <w:sz w:val="22"/>
          <w:szCs w:val="22"/>
          <w:lang w:val="en-US"/>
        </w:rPr>
        <w:t xml:space="preserve"> module</w:t>
      </w:r>
      <w:proofErr w:type="gramEnd"/>
      <w:r w:rsidRPr="00F10F19">
        <w:rPr>
          <w:rFonts w:ascii="Arial" w:eastAsia="Calibri" w:hAnsi="Arial" w:cs="Arial"/>
          <w:kern w:val="2"/>
          <w:sz w:val="22"/>
          <w:szCs w:val="22"/>
          <w:lang w:val="en-GB" w:eastAsia="en-GB"/>
          <w14:ligatures w14:val="standardContextual"/>
        </w:rPr>
        <w:t xml:space="preserve">, more literature will be provided during the </w:t>
      </w:r>
      <w:r w:rsidRPr="00F10F19">
        <w:rPr>
          <w:rFonts w:ascii="Arial" w:eastAsia="Arial" w:hAnsi="Arial" w:cs="Arial"/>
          <w:sz w:val="22"/>
          <w:szCs w:val="22"/>
          <w:lang w:val="en-US"/>
        </w:rPr>
        <w:t>module</w:t>
      </w:r>
      <w:r w:rsidRPr="00F10F19">
        <w:rPr>
          <w:rFonts w:ascii="Arial" w:eastAsia="Calibri" w:hAnsi="Arial" w:cs="Arial"/>
          <w:kern w:val="2"/>
          <w:sz w:val="22"/>
          <w:szCs w:val="22"/>
          <w:lang w:val="en-GB" w:eastAsia="en-GB"/>
          <w14:ligatures w14:val="standardContextual"/>
        </w:rPr>
        <w:t xml:space="preserve"> </w:t>
      </w:r>
      <w:r w:rsidRPr="00F10F19">
        <w:rPr>
          <w:rFonts w:ascii="Arial" w:eastAsia="Calibri" w:hAnsi="Arial" w:cs="Arial"/>
          <w:sz w:val="22"/>
          <w:szCs w:val="22"/>
          <w:lang w:val="en-GB" w:eastAsia="en-GB"/>
        </w:rPr>
        <w:t>itself.</w:t>
      </w:r>
    </w:p>
    <w:p w14:paraId="0BFE87FD" w14:textId="77777777" w:rsidR="00F10F19" w:rsidRPr="00F10F19" w:rsidRDefault="00F10F19" w:rsidP="00F10F19">
      <w:pPr>
        <w:shd w:val="clear" w:color="auto" w:fill="FFFFFF"/>
        <w:spacing w:line="276" w:lineRule="auto"/>
        <w:jc w:val="both"/>
        <w:outlineLvl w:val="4"/>
        <w:rPr>
          <w:rFonts w:ascii="Arial" w:eastAsia="Calibri" w:hAnsi="Arial" w:cs="Arial"/>
          <w:iCs/>
          <w:kern w:val="2"/>
          <w:sz w:val="22"/>
          <w:szCs w:val="22"/>
          <w:lang w:val="en-GB" w:eastAsia="en-GB"/>
          <w14:ligatures w14:val="standardContextual"/>
        </w:rPr>
      </w:pPr>
    </w:p>
    <w:p w14:paraId="3EB3B5FC" w14:textId="77777777" w:rsidR="00F10F19" w:rsidRPr="00F10F19" w:rsidRDefault="00F10F19" w:rsidP="00F10F19">
      <w:pPr>
        <w:shd w:val="clear" w:color="auto" w:fill="FFFFFF"/>
        <w:spacing w:line="480" w:lineRule="auto"/>
        <w:jc w:val="both"/>
        <w:outlineLvl w:val="4"/>
        <w:rPr>
          <w:rFonts w:ascii="Arial" w:eastAsia="Calibri" w:hAnsi="Arial" w:cs="Arial"/>
          <w:b/>
          <w:bCs/>
          <w:iCs/>
          <w:kern w:val="2"/>
          <w:sz w:val="22"/>
          <w:szCs w:val="22"/>
          <w:lang w:val="en-GB" w:eastAsia="en-GB"/>
          <w14:ligatures w14:val="standardContextual"/>
        </w:rPr>
      </w:pPr>
      <w:r w:rsidRPr="00F10F19">
        <w:rPr>
          <w:rFonts w:ascii="Arial" w:eastAsia="Calibri" w:hAnsi="Arial" w:cs="Arial"/>
          <w:b/>
          <w:bCs/>
          <w:iCs/>
          <w:kern w:val="2"/>
          <w:sz w:val="22"/>
          <w:szCs w:val="22"/>
          <w:lang w:val="en-GB" w:eastAsia="en-GB"/>
          <w14:ligatures w14:val="standardContextual"/>
        </w:rPr>
        <w:t>Essential Reading</w:t>
      </w:r>
    </w:p>
    <w:p w14:paraId="0F59682B" w14:textId="77777777" w:rsidR="00F10F19" w:rsidRPr="00F10F19" w:rsidRDefault="00F10F19" w:rsidP="00F10F19">
      <w:pPr>
        <w:widowControl w:val="0"/>
        <w:suppressAutoHyphens/>
        <w:spacing w:line="276" w:lineRule="auto"/>
        <w:ind w:left="454" w:hanging="454"/>
        <w:rPr>
          <w:rFonts w:ascii="Arial" w:eastAsia="WenQuanYi Micro Hei" w:hAnsi="Arial" w:cs="Arial"/>
          <w:kern w:val="1"/>
          <w:sz w:val="22"/>
          <w:szCs w:val="22"/>
          <w:lang w:val="en-GB" w:eastAsia="pl-PL" w:bidi="hi-IN"/>
        </w:rPr>
      </w:pPr>
      <w:r w:rsidRPr="00F10F19">
        <w:rPr>
          <w:rFonts w:ascii="Arial" w:eastAsia="WenQuanYi Micro Hei" w:hAnsi="Arial" w:cs="Arial"/>
          <w:kern w:val="1"/>
          <w:sz w:val="22"/>
          <w:szCs w:val="22"/>
          <w:lang w:val="en-GB" w:eastAsia="pl-PL" w:bidi="hi-IN"/>
        </w:rPr>
        <w:t xml:space="preserve">Cooper, F., Burbank, J., 2011. </w:t>
      </w:r>
      <w:r w:rsidRPr="00F10F19">
        <w:rPr>
          <w:rFonts w:ascii="Arial" w:eastAsia="WenQuanYi Micro Hei" w:hAnsi="Arial" w:cs="Arial"/>
          <w:i/>
          <w:iCs/>
          <w:kern w:val="1"/>
          <w:sz w:val="22"/>
          <w:szCs w:val="22"/>
          <w:lang w:val="en-GB" w:eastAsia="pl-PL" w:bidi="hi-IN"/>
        </w:rPr>
        <w:t>Empires in World History</w:t>
      </w:r>
      <w:r w:rsidRPr="00F10F19">
        <w:rPr>
          <w:rFonts w:ascii="Arial" w:eastAsia="WenQuanYi Micro Hei" w:hAnsi="Arial" w:cs="Arial"/>
          <w:kern w:val="1"/>
          <w:sz w:val="22"/>
          <w:szCs w:val="22"/>
          <w:lang w:val="en-GB" w:eastAsia="pl-PL" w:bidi="hi-IN"/>
        </w:rPr>
        <w:t xml:space="preserve">: </w:t>
      </w:r>
      <w:r w:rsidRPr="00F10F19">
        <w:rPr>
          <w:rFonts w:ascii="Arial" w:eastAsia="WenQuanYi Micro Hei" w:hAnsi="Arial" w:cs="Arial"/>
          <w:i/>
          <w:iCs/>
          <w:kern w:val="1"/>
          <w:sz w:val="22"/>
          <w:szCs w:val="22"/>
          <w:lang w:val="en-GB" w:eastAsia="pl-PL" w:bidi="hi-IN"/>
        </w:rPr>
        <w:t>Power and the Politics of Difference</w:t>
      </w:r>
      <w:r w:rsidRPr="00F10F19">
        <w:rPr>
          <w:rFonts w:ascii="Arial" w:eastAsia="WenQuanYi Micro Hei" w:hAnsi="Arial" w:cs="Arial"/>
          <w:kern w:val="1"/>
          <w:sz w:val="22"/>
          <w:szCs w:val="22"/>
          <w:lang w:val="en-GB" w:eastAsia="pl-PL" w:bidi="hi-IN"/>
        </w:rPr>
        <w:t xml:space="preserve">. Oxford: Princeton University Press. </w:t>
      </w:r>
    </w:p>
    <w:p w14:paraId="73FDECCB" w14:textId="77777777" w:rsidR="00F10F19" w:rsidRPr="00F10F19" w:rsidRDefault="00F10F19" w:rsidP="00F10F19">
      <w:pPr>
        <w:widowControl w:val="0"/>
        <w:suppressAutoHyphens/>
        <w:spacing w:line="276" w:lineRule="auto"/>
        <w:ind w:left="454" w:hanging="454"/>
        <w:jc w:val="both"/>
        <w:rPr>
          <w:rFonts w:ascii="Arial" w:eastAsia="WenQuanYi Micro Hei" w:hAnsi="Arial" w:cs="Arial"/>
          <w:kern w:val="1"/>
          <w:sz w:val="22"/>
          <w:szCs w:val="22"/>
          <w:lang w:val="en-GB" w:eastAsia="pl-PL" w:bidi="hi-IN"/>
        </w:rPr>
      </w:pPr>
      <w:r w:rsidRPr="00F10F19">
        <w:rPr>
          <w:rFonts w:ascii="Arial" w:eastAsia="WenQuanYi Micro Hei" w:hAnsi="Arial" w:cs="Arial"/>
          <w:kern w:val="1"/>
          <w:sz w:val="22"/>
          <w:szCs w:val="22"/>
          <w:lang w:val="en-GB" w:eastAsia="pl-PL" w:bidi="hi-IN"/>
        </w:rPr>
        <w:t xml:space="preserve">Naimark, N., 2016. </w:t>
      </w:r>
      <w:r w:rsidRPr="00F10F19">
        <w:rPr>
          <w:rFonts w:ascii="Arial" w:eastAsia="WenQuanYi Micro Hei" w:hAnsi="Arial" w:cs="Arial"/>
          <w:i/>
          <w:iCs/>
          <w:kern w:val="1"/>
          <w:sz w:val="22"/>
          <w:szCs w:val="22"/>
          <w:lang w:val="en-GB" w:eastAsia="pl-PL" w:bidi="hi-IN"/>
        </w:rPr>
        <w:t>Genocide: a World History</w:t>
      </w:r>
      <w:r w:rsidRPr="00F10F19">
        <w:rPr>
          <w:rFonts w:ascii="Arial" w:eastAsia="WenQuanYi Micro Hei" w:hAnsi="Arial" w:cs="Arial"/>
          <w:kern w:val="1"/>
          <w:sz w:val="22"/>
          <w:szCs w:val="22"/>
          <w:lang w:val="en-GB" w:eastAsia="pl-PL" w:bidi="hi-IN"/>
        </w:rPr>
        <w:t xml:space="preserve">. Oxford: Oxford University Press. </w:t>
      </w:r>
    </w:p>
    <w:p w14:paraId="6F722A45" w14:textId="77777777" w:rsidR="00F10F19" w:rsidRPr="00F10F19" w:rsidRDefault="00F10F19" w:rsidP="00F10F19">
      <w:pPr>
        <w:widowControl w:val="0"/>
        <w:suppressAutoHyphens/>
        <w:spacing w:line="276" w:lineRule="auto"/>
        <w:ind w:left="454" w:hanging="454"/>
        <w:jc w:val="both"/>
        <w:rPr>
          <w:rFonts w:ascii="Arial" w:eastAsia="WenQuanYi Micro Hei" w:hAnsi="Arial" w:cs="Arial"/>
          <w:kern w:val="1"/>
          <w:sz w:val="22"/>
          <w:szCs w:val="22"/>
          <w:lang w:val="en-GB" w:eastAsia="pl-PL" w:bidi="hi-IN"/>
        </w:rPr>
      </w:pPr>
    </w:p>
    <w:p w14:paraId="09CC82F2" w14:textId="77777777" w:rsidR="00F10F19" w:rsidRPr="00F10F19" w:rsidRDefault="00F10F19" w:rsidP="00F10F19">
      <w:pPr>
        <w:shd w:val="clear" w:color="auto" w:fill="FFFFFF"/>
        <w:spacing w:line="480" w:lineRule="auto"/>
        <w:jc w:val="both"/>
        <w:outlineLvl w:val="4"/>
        <w:rPr>
          <w:rFonts w:ascii="Arial" w:eastAsia="Calibri" w:hAnsi="Arial" w:cs="Arial"/>
          <w:b/>
          <w:bCs/>
          <w:iCs/>
          <w:kern w:val="2"/>
          <w:sz w:val="22"/>
          <w:szCs w:val="22"/>
          <w:lang w:val="en-GB" w:eastAsia="en-GB"/>
          <w14:ligatures w14:val="standardContextual"/>
        </w:rPr>
      </w:pPr>
      <w:r w:rsidRPr="00F10F19">
        <w:rPr>
          <w:rFonts w:ascii="Arial" w:eastAsia="Calibri" w:hAnsi="Arial" w:cs="Arial"/>
          <w:b/>
          <w:bCs/>
          <w:iCs/>
          <w:kern w:val="2"/>
          <w:sz w:val="22"/>
          <w:szCs w:val="22"/>
          <w:lang w:val="en-GB" w:eastAsia="en-GB"/>
          <w14:ligatures w14:val="standardContextual"/>
        </w:rPr>
        <w:t>Recommended Reading</w:t>
      </w:r>
    </w:p>
    <w:p w14:paraId="05C8245B" w14:textId="77777777" w:rsidR="00F10F19" w:rsidRPr="00F10F19" w:rsidRDefault="00F10F19" w:rsidP="00F10F19">
      <w:pPr>
        <w:widowControl w:val="0"/>
        <w:suppressAutoHyphens/>
        <w:spacing w:before="28" w:line="276" w:lineRule="auto"/>
        <w:ind w:left="454" w:hanging="454"/>
        <w:jc w:val="both"/>
        <w:rPr>
          <w:rFonts w:ascii="Arial" w:eastAsia="WenQuanYi Micro Hei" w:hAnsi="Arial" w:cs="Arial"/>
          <w:kern w:val="1"/>
          <w:sz w:val="22"/>
          <w:szCs w:val="22"/>
          <w:lang w:val="en-GB" w:eastAsia="pl-PL" w:bidi="hi-IN"/>
        </w:rPr>
      </w:pPr>
      <w:r w:rsidRPr="00F10F19">
        <w:rPr>
          <w:rFonts w:ascii="Arial" w:eastAsia="WenQuanYi Micro Hei" w:hAnsi="Arial" w:cs="Arial"/>
          <w:kern w:val="1"/>
          <w:sz w:val="22"/>
          <w:szCs w:val="22"/>
          <w:lang w:val="en-GB" w:eastAsia="pl-PL" w:bidi="hi-IN"/>
        </w:rPr>
        <w:t xml:space="preserve">Mann, M., 2009. </w:t>
      </w:r>
      <w:r w:rsidRPr="00F10F19">
        <w:rPr>
          <w:rFonts w:ascii="Arial" w:eastAsia="WenQuanYi Micro Hei" w:hAnsi="Arial" w:cs="Arial"/>
          <w:i/>
          <w:kern w:val="1"/>
          <w:sz w:val="22"/>
          <w:szCs w:val="22"/>
          <w:lang w:val="en-GB" w:eastAsia="pl-PL" w:bidi="hi-IN"/>
        </w:rPr>
        <w:t>The Dark Side of Democracy: Explaining Ethnic Cleansing</w:t>
      </w:r>
      <w:r w:rsidRPr="00F10F19">
        <w:rPr>
          <w:rFonts w:ascii="Arial" w:eastAsia="WenQuanYi Micro Hei" w:hAnsi="Arial" w:cs="Arial"/>
          <w:kern w:val="1"/>
          <w:sz w:val="22"/>
          <w:szCs w:val="22"/>
          <w:lang w:val="en-GB" w:eastAsia="pl-PL" w:bidi="hi-IN"/>
        </w:rPr>
        <w:t>. Cambridge: Cambridge University Press.</w:t>
      </w:r>
    </w:p>
    <w:p w14:paraId="6A277180" w14:textId="77777777" w:rsidR="00F10F19" w:rsidRPr="00F10F19" w:rsidRDefault="00F10F19" w:rsidP="00F10F19">
      <w:pPr>
        <w:widowControl w:val="0"/>
        <w:suppressAutoHyphens/>
        <w:spacing w:before="28" w:line="276" w:lineRule="auto"/>
        <w:ind w:left="454" w:hanging="454"/>
        <w:jc w:val="both"/>
        <w:rPr>
          <w:rFonts w:ascii="Arial" w:eastAsia="WenQuanYi Micro Hei" w:hAnsi="Arial" w:cs="Arial"/>
          <w:i/>
          <w:iCs/>
          <w:kern w:val="1"/>
          <w:sz w:val="22"/>
          <w:szCs w:val="22"/>
          <w:lang w:val="en-GB" w:eastAsia="pl-PL" w:bidi="hi-IN"/>
        </w:rPr>
      </w:pPr>
      <w:r w:rsidRPr="00F10F19">
        <w:rPr>
          <w:rFonts w:ascii="Arial" w:eastAsia="WenQuanYi Micro Hei" w:hAnsi="Arial" w:cs="Arial"/>
          <w:kern w:val="1"/>
          <w:sz w:val="22"/>
          <w:szCs w:val="22"/>
          <w:lang w:val="en-GB" w:eastAsia="pl-PL" w:bidi="hi-IN"/>
        </w:rPr>
        <w:t xml:space="preserve">Morefield, J., 2014. </w:t>
      </w:r>
      <w:r w:rsidRPr="00F10F19">
        <w:rPr>
          <w:rFonts w:ascii="Arial" w:eastAsia="WenQuanYi Micro Hei" w:hAnsi="Arial" w:cs="Arial"/>
          <w:i/>
          <w:iCs/>
          <w:kern w:val="1"/>
          <w:sz w:val="22"/>
          <w:szCs w:val="22"/>
          <w:lang w:val="en-GB" w:eastAsia="pl-PL" w:bidi="hi-IN"/>
        </w:rPr>
        <w:t>Empires without Imperialism: Anglo-American Decline and the Politics of Deflection</w:t>
      </w:r>
      <w:r w:rsidRPr="00F10F19">
        <w:rPr>
          <w:rFonts w:ascii="Arial" w:eastAsia="WenQuanYi Micro Hei" w:hAnsi="Arial" w:cs="Arial"/>
          <w:kern w:val="1"/>
          <w:sz w:val="22"/>
          <w:szCs w:val="22"/>
          <w:lang w:val="en-GB" w:eastAsia="pl-PL" w:bidi="hi-IN"/>
        </w:rPr>
        <w:t>. Oxford: Oxford University Press.</w:t>
      </w:r>
    </w:p>
    <w:p w14:paraId="063A2F6B" w14:textId="77777777" w:rsidR="00F10F19" w:rsidRPr="00F10F19" w:rsidRDefault="00F10F19" w:rsidP="00F10F19">
      <w:pPr>
        <w:keepNext/>
        <w:shd w:val="clear" w:color="auto" w:fill="FFFFFF"/>
        <w:spacing w:line="276" w:lineRule="auto"/>
        <w:ind w:left="454" w:hanging="454"/>
        <w:outlineLvl w:val="1"/>
        <w:rPr>
          <w:rFonts w:ascii="Arial" w:eastAsia="Times New Roman" w:hAnsi="Arial" w:cs="Arial"/>
          <w:iCs/>
          <w:sz w:val="22"/>
          <w:szCs w:val="22"/>
          <w:lang w:val="en-US" w:eastAsia="pl-PL"/>
        </w:rPr>
      </w:pPr>
      <w:proofErr w:type="spellStart"/>
      <w:r w:rsidRPr="00F10F19">
        <w:rPr>
          <w:rFonts w:ascii="Arial" w:eastAsia="Times New Roman" w:hAnsi="Arial" w:cs="Arial"/>
          <w:sz w:val="22"/>
          <w:szCs w:val="22"/>
          <w:lang w:val="en-US" w:eastAsia="pl-PL"/>
        </w:rPr>
        <w:t>Sagramoso</w:t>
      </w:r>
      <w:proofErr w:type="spellEnd"/>
      <w:r w:rsidRPr="00F10F19">
        <w:rPr>
          <w:rFonts w:ascii="Arial" w:eastAsia="Times New Roman" w:hAnsi="Arial" w:cs="Arial"/>
          <w:sz w:val="22"/>
          <w:szCs w:val="22"/>
          <w:lang w:val="en-US" w:eastAsia="pl-PL"/>
        </w:rPr>
        <w:t xml:space="preserve">, D., 2020, </w:t>
      </w:r>
      <w:r w:rsidRPr="00F10F19">
        <w:rPr>
          <w:rFonts w:ascii="Arial" w:eastAsia="Times New Roman" w:hAnsi="Arial" w:cs="Arial"/>
          <w:i/>
          <w:sz w:val="22"/>
          <w:szCs w:val="22"/>
          <w:lang w:val="en-US" w:eastAsia="pl-PL"/>
        </w:rPr>
        <w:t>Russian Imperialism Revisited: From Disengagement to Hegemony</w:t>
      </w:r>
      <w:r w:rsidRPr="00F10F19">
        <w:rPr>
          <w:rFonts w:ascii="Arial" w:eastAsia="Times New Roman" w:hAnsi="Arial" w:cs="Arial"/>
          <w:iCs/>
          <w:sz w:val="22"/>
          <w:szCs w:val="22"/>
          <w:lang w:val="en-US" w:eastAsia="pl-PL"/>
        </w:rPr>
        <w:t xml:space="preserve">. Abingdon: </w:t>
      </w:r>
      <w:r w:rsidRPr="00F10F19">
        <w:rPr>
          <w:rFonts w:ascii="Arial" w:eastAsia="Times New Roman" w:hAnsi="Arial" w:cs="Arial"/>
          <w:sz w:val="22"/>
          <w:szCs w:val="22"/>
          <w:lang w:val="en-US" w:eastAsia="pl-PL"/>
        </w:rPr>
        <w:t>Routledge.</w:t>
      </w:r>
    </w:p>
    <w:p w14:paraId="0139CF47" w14:textId="77777777" w:rsidR="00F10F19" w:rsidRPr="00F10F19" w:rsidRDefault="00F10F19" w:rsidP="00F10F19">
      <w:pPr>
        <w:widowControl w:val="0"/>
        <w:suppressAutoHyphens/>
        <w:spacing w:before="28" w:after="28" w:line="276" w:lineRule="auto"/>
        <w:ind w:left="454" w:hanging="454"/>
        <w:jc w:val="both"/>
        <w:rPr>
          <w:rFonts w:ascii="Arial" w:eastAsia="WenQuanYi Micro Hei" w:hAnsi="Arial" w:cs="Arial"/>
          <w:kern w:val="1"/>
          <w:sz w:val="22"/>
          <w:szCs w:val="22"/>
          <w:lang w:val="en-GB" w:eastAsia="pl-PL" w:bidi="hi-IN"/>
        </w:rPr>
      </w:pPr>
      <w:r w:rsidRPr="00F10F19">
        <w:rPr>
          <w:rFonts w:ascii="Arial" w:eastAsia="WenQuanYi Micro Hei" w:hAnsi="Arial" w:cs="Arial"/>
          <w:kern w:val="1"/>
          <w:sz w:val="22"/>
          <w:szCs w:val="22"/>
          <w:lang w:val="en-GB" w:eastAsia="pl-PL" w:bidi="hi-IN"/>
        </w:rPr>
        <w:t xml:space="preserve">Zeynep </w:t>
      </w:r>
      <w:proofErr w:type="spellStart"/>
      <w:r w:rsidRPr="00F10F19">
        <w:rPr>
          <w:rFonts w:ascii="Arial" w:eastAsia="WenQuanYi Micro Hei" w:hAnsi="Arial" w:cs="Arial"/>
          <w:kern w:val="1"/>
          <w:sz w:val="22"/>
          <w:szCs w:val="22"/>
          <w:lang w:val="en-GB" w:eastAsia="pl-PL" w:bidi="hi-IN"/>
        </w:rPr>
        <w:t>Bulutgil</w:t>
      </w:r>
      <w:proofErr w:type="spellEnd"/>
      <w:r w:rsidRPr="00F10F19">
        <w:rPr>
          <w:rFonts w:ascii="Arial" w:eastAsia="WenQuanYi Micro Hei" w:hAnsi="Arial" w:cs="Arial"/>
          <w:kern w:val="1"/>
          <w:sz w:val="22"/>
          <w:szCs w:val="22"/>
          <w:lang w:val="en-GB" w:eastAsia="pl-PL" w:bidi="hi-IN"/>
        </w:rPr>
        <w:t xml:space="preserve">, H., 2016. </w:t>
      </w:r>
      <w:r w:rsidRPr="00F10F19">
        <w:rPr>
          <w:rFonts w:ascii="Arial" w:eastAsia="WenQuanYi Micro Hei" w:hAnsi="Arial" w:cs="Arial"/>
          <w:i/>
          <w:iCs/>
          <w:kern w:val="1"/>
          <w:sz w:val="22"/>
          <w:szCs w:val="22"/>
          <w:lang w:val="en-GB" w:eastAsia="pl-PL" w:bidi="hi-IN"/>
        </w:rPr>
        <w:t>The Roots of Ethnic Cleansing in Europe</w:t>
      </w:r>
      <w:r w:rsidRPr="00F10F19">
        <w:rPr>
          <w:rFonts w:ascii="Arial" w:eastAsia="WenQuanYi Micro Hei" w:hAnsi="Arial" w:cs="Arial"/>
          <w:kern w:val="1"/>
          <w:sz w:val="22"/>
          <w:szCs w:val="22"/>
          <w:lang w:val="en-GB" w:eastAsia="pl-PL" w:bidi="hi-IN"/>
        </w:rPr>
        <w:t>, Cambridge, Cambridge University Press.</w:t>
      </w:r>
    </w:p>
    <w:p w14:paraId="32B64228" w14:textId="77777777" w:rsidR="00BC319D" w:rsidRDefault="00BC319D"/>
    <w:sectPr w:rsidR="00BC319D" w:rsidSect="00F10F19">
      <w:pgSz w:w="1190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AC569" w14:textId="77777777" w:rsidR="00BE3FE8" w:rsidRDefault="00BE3FE8" w:rsidP="00F10F19">
      <w:r>
        <w:separator/>
      </w:r>
    </w:p>
  </w:endnote>
  <w:endnote w:type="continuationSeparator" w:id="0">
    <w:p w14:paraId="716CA36B" w14:textId="77777777" w:rsidR="00BE3FE8" w:rsidRDefault="00BE3FE8" w:rsidP="00F1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WenQuanYi Micro Hei">
    <w:altName w:val="MS Mincho"/>
    <w:panose1 w:val="020B0604020202020204"/>
    <w:charset w:val="80"/>
    <w:family w:val="auto"/>
    <w:pitch w:val="variable"/>
  </w:font>
  <w:font w:name="Liberation Serif">
    <w:altName w:val="MS PMincho"/>
    <w:panose1 w:val="020B0604020202020204"/>
    <w:charset w:val="80"/>
    <w:family w:val="roman"/>
    <w:pitch w:val="variable"/>
    <w:sig w:usb0="E0002AFF" w:usb1="C0007843" w:usb2="00000009" w:usb3="00000000" w:csb0="000001FF" w:csb1="00000000"/>
  </w:font>
  <w:font w:name="Lohit Hindi">
    <w:altName w:val="MS Gothic"/>
    <w:panose1 w:val="020B0604020202020204"/>
    <w:charset w:val="80"/>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DE4AF" w14:textId="77777777" w:rsidR="00BE3FE8" w:rsidRDefault="00BE3FE8" w:rsidP="00F10F19">
      <w:r>
        <w:separator/>
      </w:r>
    </w:p>
  </w:footnote>
  <w:footnote w:type="continuationSeparator" w:id="0">
    <w:p w14:paraId="20BB1357" w14:textId="77777777" w:rsidR="00BE3FE8" w:rsidRDefault="00BE3FE8" w:rsidP="00F1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42050"/>
    <w:multiLevelType w:val="multilevel"/>
    <w:tmpl w:val="F90022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1B87D79"/>
    <w:multiLevelType w:val="hybridMultilevel"/>
    <w:tmpl w:val="58B21F18"/>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65609AC4">
      <w:numFmt w:val="bullet"/>
      <w:lvlText w:val="-"/>
      <w:lvlJc w:val="left"/>
      <w:pPr>
        <w:ind w:left="502"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D377A31"/>
    <w:multiLevelType w:val="hybridMultilevel"/>
    <w:tmpl w:val="E6F877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E1FF0"/>
    <w:multiLevelType w:val="hybridMultilevel"/>
    <w:tmpl w:val="D4C8BBE6"/>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35471203">
    <w:abstractNumId w:val="2"/>
  </w:num>
  <w:num w:numId="2" w16cid:durableId="735007391">
    <w:abstractNumId w:val="0"/>
  </w:num>
  <w:num w:numId="3" w16cid:durableId="1455251404">
    <w:abstractNumId w:val="1"/>
  </w:num>
  <w:num w:numId="4" w16cid:durableId="1974292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19"/>
    <w:rsid w:val="002F545A"/>
    <w:rsid w:val="00605D61"/>
    <w:rsid w:val="00A0510C"/>
    <w:rsid w:val="00BC319D"/>
    <w:rsid w:val="00BE3FE8"/>
    <w:rsid w:val="00C64B42"/>
    <w:rsid w:val="00F10F19"/>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6234F7F4"/>
  <w15:chartTrackingRefBased/>
  <w15:docId w15:val="{A815C8FA-10C2-934A-A06D-67B407E0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F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F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F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F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F19"/>
    <w:rPr>
      <w:rFonts w:eastAsiaTheme="majorEastAsia" w:cstheme="majorBidi"/>
      <w:color w:val="272727" w:themeColor="text1" w:themeTint="D8"/>
    </w:rPr>
  </w:style>
  <w:style w:type="paragraph" w:styleId="Title">
    <w:name w:val="Title"/>
    <w:basedOn w:val="Normal"/>
    <w:next w:val="Normal"/>
    <w:link w:val="TitleChar"/>
    <w:uiPriority w:val="10"/>
    <w:qFormat/>
    <w:rsid w:val="00F10F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F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F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0F19"/>
    <w:rPr>
      <w:i/>
      <w:iCs/>
      <w:color w:val="404040" w:themeColor="text1" w:themeTint="BF"/>
    </w:rPr>
  </w:style>
  <w:style w:type="paragraph" w:styleId="ListParagraph">
    <w:name w:val="List Paragraph"/>
    <w:basedOn w:val="Normal"/>
    <w:uiPriority w:val="34"/>
    <w:qFormat/>
    <w:rsid w:val="00F10F19"/>
    <w:pPr>
      <w:ind w:left="720"/>
      <w:contextualSpacing/>
    </w:pPr>
  </w:style>
  <w:style w:type="character" w:styleId="IntenseEmphasis">
    <w:name w:val="Intense Emphasis"/>
    <w:basedOn w:val="DefaultParagraphFont"/>
    <w:uiPriority w:val="21"/>
    <w:qFormat/>
    <w:rsid w:val="00F10F19"/>
    <w:rPr>
      <w:i/>
      <w:iCs/>
      <w:color w:val="0F4761" w:themeColor="accent1" w:themeShade="BF"/>
    </w:rPr>
  </w:style>
  <w:style w:type="paragraph" w:styleId="IntenseQuote">
    <w:name w:val="Intense Quote"/>
    <w:basedOn w:val="Normal"/>
    <w:next w:val="Normal"/>
    <w:link w:val="IntenseQuoteChar"/>
    <w:uiPriority w:val="30"/>
    <w:qFormat/>
    <w:rsid w:val="00F10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F19"/>
    <w:rPr>
      <w:i/>
      <w:iCs/>
      <w:color w:val="0F4761" w:themeColor="accent1" w:themeShade="BF"/>
    </w:rPr>
  </w:style>
  <w:style w:type="character" w:styleId="IntenseReference">
    <w:name w:val="Intense Reference"/>
    <w:basedOn w:val="DefaultParagraphFont"/>
    <w:uiPriority w:val="32"/>
    <w:qFormat/>
    <w:rsid w:val="00F10F19"/>
    <w:rPr>
      <w:b/>
      <w:bCs/>
      <w:smallCaps/>
      <w:color w:val="0F4761" w:themeColor="accent1" w:themeShade="BF"/>
      <w:spacing w:val="5"/>
    </w:rPr>
  </w:style>
  <w:style w:type="paragraph" w:styleId="Header">
    <w:name w:val="header"/>
    <w:basedOn w:val="Normal"/>
    <w:link w:val="HeaderChar"/>
    <w:uiPriority w:val="99"/>
    <w:unhideWhenUsed/>
    <w:rsid w:val="00F10F19"/>
    <w:pPr>
      <w:tabs>
        <w:tab w:val="center" w:pos="4513"/>
        <w:tab w:val="right" w:pos="9026"/>
      </w:tabs>
    </w:pPr>
  </w:style>
  <w:style w:type="character" w:customStyle="1" w:styleId="HeaderChar">
    <w:name w:val="Header Char"/>
    <w:basedOn w:val="DefaultParagraphFont"/>
    <w:link w:val="Header"/>
    <w:uiPriority w:val="99"/>
    <w:rsid w:val="00F10F19"/>
  </w:style>
  <w:style w:type="table" w:customStyle="1" w:styleId="TableGridLight1">
    <w:name w:val="Table Grid Light1"/>
    <w:basedOn w:val="TableNormal"/>
    <w:next w:val="TableGridLight"/>
    <w:uiPriority w:val="40"/>
    <w:rsid w:val="00F10F19"/>
    <w:pPr>
      <w:widowControl w:val="0"/>
      <w:autoSpaceDE w:val="0"/>
      <w:autoSpaceDN w:val="0"/>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F10F19"/>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F10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F10F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F10F19"/>
    <w:pPr>
      <w:tabs>
        <w:tab w:val="center" w:pos="4513"/>
        <w:tab w:val="right" w:pos="9026"/>
      </w:tabs>
    </w:pPr>
  </w:style>
  <w:style w:type="character" w:customStyle="1" w:styleId="FooterChar">
    <w:name w:val="Footer Char"/>
    <w:basedOn w:val="DefaultParagraphFont"/>
    <w:link w:val="Footer"/>
    <w:uiPriority w:val="99"/>
    <w:rsid w:val="00F1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1615</Words>
  <Characters>9212</Characters>
  <Application>Microsoft Office Word</Application>
  <DocSecurity>0</DocSecurity>
  <Lines>76</Lines>
  <Paragraphs>21</Paragraphs>
  <ScaleCrop>false</ScaleCrop>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2025-08-22T13:32:00Z</dcterms:created>
  <dcterms:modified xsi:type="dcterms:W3CDTF">2025-08-22T13:33:00Z</dcterms:modified>
</cp:coreProperties>
</file>