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D3F24" w14:textId="77777777" w:rsidR="002F124F" w:rsidRPr="00B12AD7" w:rsidRDefault="002F124F" w:rsidP="002F124F">
      <w:pPr>
        <w:pStyle w:val="Heading2"/>
        <w:spacing w:line="276" w:lineRule="auto"/>
        <w:jc w:val="both"/>
        <w:rPr>
          <w:rFonts w:ascii="DINCE-Regular" w:hAnsi="DINCE-Regular"/>
          <w:color w:val="404040" w:themeColor="text1" w:themeTint="BF"/>
          <w:kern w:val="36"/>
          <w:lang w:val="en-GB"/>
        </w:rPr>
      </w:pPr>
      <w:bookmarkStart w:id="0" w:name="_Toc179189731"/>
      <w:r w:rsidRPr="00B12AD7">
        <w:rPr>
          <w:rFonts w:ascii="DINCE-Regular" w:hAnsi="DINCE-Regular"/>
          <w:color w:val="404040" w:themeColor="text1" w:themeTint="BF"/>
          <w:kern w:val="36"/>
          <w:lang w:val="en-GB"/>
        </w:rPr>
        <w:t>EAST ASIA</w:t>
      </w:r>
      <w:bookmarkEnd w:id="0"/>
    </w:p>
    <w:p w14:paraId="0D6C0F30" w14:textId="77777777" w:rsidR="002F124F" w:rsidRPr="00B12AD7" w:rsidRDefault="002F124F" w:rsidP="002F124F">
      <w:pPr>
        <w:spacing w:line="276" w:lineRule="auto"/>
        <w:jc w:val="both"/>
        <w:rPr>
          <w:rFonts w:ascii="DINCE-Regular" w:hAnsi="DINCE-Regular"/>
          <w:color w:val="404040" w:themeColor="text1" w:themeTint="BF"/>
          <w:lang w:val="en-GB" w:eastAsia="en-GB"/>
        </w:rPr>
      </w:pPr>
    </w:p>
    <w:p w14:paraId="058F6661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1. MODULE SUMMARY</w:t>
      </w:r>
    </w:p>
    <w:p w14:paraId="695744B8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Aims and Summary</w:t>
      </w:r>
    </w:p>
    <w:p w14:paraId="53F42A7F" w14:textId="77777777" w:rsidR="002F124F" w:rsidRPr="00B12AD7" w:rsidRDefault="002F124F" w:rsidP="002F124F">
      <w:pPr>
        <w:spacing w:line="276" w:lineRule="auto"/>
        <w:jc w:val="both"/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The aim of the module is to provide students with knowledge of the major regions of East Asia: China, Japan, North and South Korea, Taiwan and Vietnam in broad context: historical, cultural, geographical, socio-economic and political. The emphasis will be put on the foreign relations issue.</w:t>
      </w:r>
    </w:p>
    <w:p w14:paraId="590F3A4E" w14:textId="77777777" w:rsidR="002F124F" w:rsidRPr="00B12AD7" w:rsidRDefault="002F124F" w:rsidP="002F124F">
      <w:pPr>
        <w:shd w:val="clear" w:color="auto" w:fill="FFFFFF"/>
        <w:spacing w:line="276" w:lineRule="auto"/>
        <w:jc w:val="both"/>
        <w:outlineLvl w:val="4"/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Module Size and credits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2"/>
        <w:gridCol w:w="5724"/>
      </w:tblGrid>
      <w:tr w:rsidR="002F124F" w:rsidRPr="00B12AD7" w14:paraId="5A9259B0" w14:textId="77777777" w:rsidTr="00FE71EB">
        <w:trPr>
          <w:trHeight w:val="432"/>
          <w:tblCellSpacing w:w="15" w:type="dxa"/>
        </w:trPr>
        <w:tc>
          <w:tcPr>
            <w:tcW w:w="0" w:type="auto"/>
            <w:tcMar>
              <w:top w:w="15" w:type="dxa"/>
              <w:left w:w="480" w:type="dxa"/>
              <w:bottom w:w="15" w:type="dxa"/>
              <w:right w:w="240" w:type="dxa"/>
            </w:tcMar>
            <w:vAlign w:val="center"/>
          </w:tcPr>
          <w:p w14:paraId="10A4F7C3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b/>
                <w:bCs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b/>
                <w:color w:val="404040" w:themeColor="text1" w:themeTint="BF"/>
                <w:sz w:val="22"/>
                <w:szCs w:val="22"/>
                <w:lang w:val="en-GB"/>
              </w:rPr>
              <w:t>ECTS credits</w:t>
            </w:r>
          </w:p>
        </w:tc>
        <w:tc>
          <w:tcPr>
            <w:tcW w:w="0" w:type="auto"/>
            <w:vAlign w:val="center"/>
          </w:tcPr>
          <w:p w14:paraId="23C1BD92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/>
              </w:rPr>
              <w:t>5.0</w:t>
            </w:r>
          </w:p>
        </w:tc>
      </w:tr>
      <w:tr w:rsidR="002F124F" w:rsidRPr="00B12AD7" w14:paraId="16F95B6C" w14:textId="77777777" w:rsidTr="00FE71EB">
        <w:trPr>
          <w:trHeight w:val="432"/>
          <w:tblCellSpacing w:w="15" w:type="dxa"/>
        </w:trPr>
        <w:tc>
          <w:tcPr>
            <w:tcW w:w="0" w:type="auto"/>
            <w:tcMar>
              <w:top w:w="15" w:type="dxa"/>
              <w:left w:w="480" w:type="dxa"/>
              <w:bottom w:w="15" w:type="dxa"/>
              <w:right w:w="240" w:type="dxa"/>
            </w:tcMar>
            <w:vAlign w:val="center"/>
          </w:tcPr>
          <w:p w14:paraId="3B879200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b/>
                <w:bCs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b/>
                <w:color w:val="404040" w:themeColor="text1" w:themeTint="BF"/>
                <w:sz w:val="22"/>
                <w:szCs w:val="22"/>
                <w:lang w:val="en-GB"/>
              </w:rPr>
              <w:t>Total student study hours</w:t>
            </w:r>
          </w:p>
        </w:tc>
        <w:tc>
          <w:tcPr>
            <w:tcW w:w="0" w:type="auto"/>
            <w:vAlign w:val="center"/>
          </w:tcPr>
          <w:p w14:paraId="5AF8D467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/>
              </w:rPr>
              <w:t>100</w:t>
            </w:r>
          </w:p>
        </w:tc>
      </w:tr>
      <w:tr w:rsidR="002F124F" w:rsidRPr="00B12AD7" w14:paraId="42248436" w14:textId="77777777" w:rsidTr="00FE71EB">
        <w:trPr>
          <w:trHeight w:val="432"/>
          <w:tblCellSpacing w:w="15" w:type="dxa"/>
        </w:trPr>
        <w:tc>
          <w:tcPr>
            <w:tcW w:w="0" w:type="auto"/>
            <w:tcMar>
              <w:top w:w="15" w:type="dxa"/>
              <w:left w:w="480" w:type="dxa"/>
              <w:bottom w:w="15" w:type="dxa"/>
              <w:right w:w="240" w:type="dxa"/>
            </w:tcMar>
            <w:vAlign w:val="center"/>
          </w:tcPr>
          <w:p w14:paraId="7734F634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b/>
                <w:bCs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b/>
                <w:color w:val="404040" w:themeColor="text1" w:themeTint="BF"/>
                <w:sz w:val="22"/>
                <w:szCs w:val="22"/>
                <w:lang w:val="en-GB"/>
              </w:rPr>
              <w:t>Number of weeks</w:t>
            </w:r>
          </w:p>
        </w:tc>
        <w:tc>
          <w:tcPr>
            <w:tcW w:w="0" w:type="auto"/>
            <w:vAlign w:val="center"/>
          </w:tcPr>
          <w:p w14:paraId="45D61D08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/>
              </w:rPr>
              <w:t>12</w:t>
            </w:r>
          </w:p>
        </w:tc>
      </w:tr>
      <w:tr w:rsidR="002F124F" w:rsidRPr="00B12AD7" w14:paraId="128D10E3" w14:textId="77777777" w:rsidTr="00FE71EB">
        <w:trPr>
          <w:trHeight w:val="432"/>
          <w:tblCellSpacing w:w="15" w:type="dxa"/>
        </w:trPr>
        <w:tc>
          <w:tcPr>
            <w:tcW w:w="0" w:type="auto"/>
            <w:tcMar>
              <w:top w:w="15" w:type="dxa"/>
              <w:left w:w="480" w:type="dxa"/>
              <w:bottom w:w="15" w:type="dxa"/>
              <w:right w:w="240" w:type="dxa"/>
            </w:tcMar>
            <w:vAlign w:val="center"/>
          </w:tcPr>
          <w:p w14:paraId="0DF0F053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b/>
                <w:bCs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b/>
                <w:color w:val="404040" w:themeColor="text1" w:themeTint="BF"/>
                <w:sz w:val="22"/>
                <w:szCs w:val="22"/>
                <w:lang w:val="en-GB"/>
              </w:rPr>
              <w:t>School responsible</w:t>
            </w:r>
          </w:p>
        </w:tc>
        <w:tc>
          <w:tcPr>
            <w:tcW w:w="0" w:type="auto"/>
            <w:vAlign w:val="center"/>
          </w:tcPr>
          <w:p w14:paraId="6F40586C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 w:eastAsia="en-GB"/>
              </w:rPr>
            </w:pPr>
            <w:proofErr w:type="spellStart"/>
            <w:r w:rsidRPr="00B12AD7"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/>
              </w:rPr>
              <w:t>Łazarski</w:t>
            </w:r>
            <w:proofErr w:type="spellEnd"/>
            <w:r w:rsidRPr="00B12AD7"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/>
              </w:rPr>
              <w:t xml:space="preserve"> University, Faculty of Economics and Management</w:t>
            </w:r>
          </w:p>
        </w:tc>
      </w:tr>
    </w:tbl>
    <w:p w14:paraId="6B525711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Entry Requirements (pre-requisites and co-requisites)</w:t>
      </w:r>
    </w:p>
    <w:p w14:paraId="50E30CDA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N/A</w:t>
      </w:r>
    </w:p>
    <w:p w14:paraId="3170F3C5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Excluded Combinations</w:t>
      </w:r>
    </w:p>
    <w:p w14:paraId="5544879C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None</w:t>
      </w:r>
    </w:p>
    <w:p w14:paraId="41134A9B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Composition of module mark (including weighting of components)</w:t>
      </w:r>
    </w:p>
    <w:p w14:paraId="1C21FB78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Coursework 60%, composed of essay</w:t>
      </w:r>
    </w:p>
    <w:p w14:paraId="5EB8F84B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Final exam 40%</w:t>
      </w:r>
    </w:p>
    <w:p w14:paraId="791A3CF2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Pass requirements</w:t>
      </w:r>
    </w:p>
    <w:p w14:paraId="7EA0F8BC" w14:textId="77777777" w:rsidR="002F124F" w:rsidRPr="00B12AD7" w:rsidRDefault="002F124F" w:rsidP="002F124F">
      <w:pPr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To pass the course a student must score at least 40% of the overall weighted average and not less than 35% for each assessment component (i.e. final exam and coursework). Re-assessment: coursework component(s) and/or examination as appropriate. </w:t>
      </w:r>
    </w:p>
    <w:p w14:paraId="00734900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Special Features</w:t>
      </w:r>
    </w:p>
    <w:p w14:paraId="61C42C7C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None</w:t>
      </w:r>
    </w:p>
    <w:p w14:paraId="3DEB86B0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Course stages for which this module is mandatory</w:t>
      </w:r>
    </w:p>
    <w:p w14:paraId="0F9AD3A0" w14:textId="77777777" w:rsidR="002F124F" w:rsidRPr="00B12AD7" w:rsidRDefault="002F124F" w:rsidP="002F124F">
      <w:pPr>
        <w:shd w:val="clear" w:color="auto" w:fill="FFFFFF"/>
        <w:suppressAutoHyphens/>
        <w:spacing w:line="276" w:lineRule="auto"/>
        <w:jc w:val="both"/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BA Year 3 International Relations (level 6)</w:t>
      </w:r>
    </w:p>
    <w:p w14:paraId="41B551C1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Course stages for which this module is a core option</w:t>
      </w:r>
    </w:p>
    <w:p w14:paraId="640E2E88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None</w:t>
      </w:r>
    </w:p>
    <w:p w14:paraId="0F1BF3F2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</w:pPr>
    </w:p>
    <w:p w14:paraId="3E6A4AE7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2. TEACHING, LEARNING AND ASSESSMENT</w:t>
      </w:r>
    </w:p>
    <w:p w14:paraId="0EC85E68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Intended Module Learning Outcomes</w:t>
      </w:r>
    </w:p>
    <w:p w14:paraId="37DA7122" w14:textId="77777777" w:rsidR="002F124F" w:rsidRPr="00B12AD7" w:rsidRDefault="002F124F" w:rsidP="002F124F">
      <w:pPr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By the end of the course students should be able to:</w:t>
      </w:r>
    </w:p>
    <w:p w14:paraId="5232E56A" w14:textId="77777777" w:rsidR="002F124F" w:rsidRPr="00B12AD7" w:rsidRDefault="002F124F" w:rsidP="002F124F">
      <w:pPr>
        <w:pStyle w:val="Akapitzlist2"/>
        <w:widowControl w:val="0"/>
        <w:numPr>
          <w:ilvl w:val="0"/>
          <w:numId w:val="1"/>
        </w:numPr>
        <w:tabs>
          <w:tab w:val="left" w:pos="851"/>
        </w:tabs>
        <w:suppressAutoHyphens/>
        <w:spacing w:after="0"/>
        <w:jc w:val="both"/>
        <w:rPr>
          <w:rFonts w:ascii="DINCE-Regular" w:hAnsi="DINCE-Regular" w:cs="Times New Roman"/>
          <w:color w:val="404040" w:themeColor="text1" w:themeTint="BF"/>
          <w:lang w:val="en-GB"/>
        </w:rPr>
      </w:pPr>
      <w:r w:rsidRPr="00B12AD7">
        <w:rPr>
          <w:rFonts w:ascii="DINCE-Regular" w:hAnsi="DINCE-Regular" w:cs="Times New Roman"/>
          <w:color w:val="404040" w:themeColor="text1" w:themeTint="BF"/>
          <w:lang w:val="en-GB"/>
        </w:rPr>
        <w:t>Assess the political and cultural development of each major East Asian country in its historical context</w:t>
      </w:r>
    </w:p>
    <w:p w14:paraId="0597F8F7" w14:textId="77777777" w:rsidR="002F124F" w:rsidRPr="00B12AD7" w:rsidRDefault="002F124F" w:rsidP="002F124F">
      <w:pPr>
        <w:pStyle w:val="Akapitzlist2"/>
        <w:widowControl w:val="0"/>
        <w:numPr>
          <w:ilvl w:val="0"/>
          <w:numId w:val="1"/>
        </w:numPr>
        <w:tabs>
          <w:tab w:val="left" w:pos="851"/>
        </w:tabs>
        <w:suppressAutoHyphens/>
        <w:spacing w:after="0"/>
        <w:jc w:val="both"/>
        <w:rPr>
          <w:rFonts w:ascii="DINCE-Regular" w:hAnsi="DINCE-Regular" w:cs="Times New Roman"/>
          <w:color w:val="404040" w:themeColor="text1" w:themeTint="BF"/>
          <w:lang w:val="en-GB"/>
        </w:rPr>
      </w:pPr>
      <w:r w:rsidRPr="00B12AD7">
        <w:rPr>
          <w:rFonts w:ascii="DINCE-Regular" w:hAnsi="DINCE-Regular" w:cs="Times New Roman"/>
          <w:color w:val="404040" w:themeColor="text1" w:themeTint="BF"/>
          <w:lang w:val="en-GB"/>
        </w:rPr>
        <w:t xml:space="preserve">Identify, define, and </w:t>
      </w:r>
      <w:proofErr w:type="spellStart"/>
      <w:r w:rsidRPr="00B12AD7">
        <w:rPr>
          <w:rFonts w:ascii="DINCE-Regular" w:hAnsi="DINCE-Regular" w:cs="Times New Roman"/>
          <w:color w:val="404040" w:themeColor="text1" w:themeTint="BF"/>
          <w:lang w:val="en-GB"/>
        </w:rPr>
        <w:t>analyze</w:t>
      </w:r>
      <w:proofErr w:type="spellEnd"/>
      <w:r w:rsidRPr="00B12AD7">
        <w:rPr>
          <w:rFonts w:ascii="DINCE-Regular" w:hAnsi="DINCE-Regular" w:cs="Times New Roman"/>
          <w:color w:val="404040" w:themeColor="text1" w:themeTint="BF"/>
          <w:lang w:val="en-GB"/>
        </w:rPr>
        <w:t xml:space="preserve"> current business and political problems of each East Asian country studied</w:t>
      </w:r>
    </w:p>
    <w:p w14:paraId="3236CCF6" w14:textId="77777777" w:rsidR="002F124F" w:rsidRPr="00B12AD7" w:rsidRDefault="002F124F" w:rsidP="002F124F">
      <w:pPr>
        <w:pStyle w:val="Akapitzlist2"/>
        <w:widowControl w:val="0"/>
        <w:numPr>
          <w:ilvl w:val="0"/>
          <w:numId w:val="1"/>
        </w:numPr>
        <w:tabs>
          <w:tab w:val="left" w:pos="851"/>
        </w:tabs>
        <w:suppressAutoHyphens/>
        <w:spacing w:after="0"/>
        <w:jc w:val="both"/>
        <w:rPr>
          <w:rFonts w:ascii="DINCE-Regular" w:hAnsi="DINCE-Regular" w:cs="Times New Roman"/>
          <w:color w:val="404040" w:themeColor="text1" w:themeTint="BF"/>
          <w:lang w:val="en-GB"/>
        </w:rPr>
      </w:pPr>
      <w:r w:rsidRPr="00B12AD7">
        <w:rPr>
          <w:rFonts w:ascii="DINCE-Regular" w:hAnsi="DINCE-Regular" w:cs="Times New Roman"/>
          <w:color w:val="404040" w:themeColor="text1" w:themeTint="BF"/>
          <w:lang w:val="en-GB"/>
        </w:rPr>
        <w:lastRenderedPageBreak/>
        <w:t>Demonstrate an understanding of social and economic problems of each East Asian country studied</w:t>
      </w:r>
    </w:p>
    <w:p w14:paraId="7B61B9CD" w14:textId="77777777" w:rsidR="002F124F" w:rsidRPr="00B12AD7" w:rsidRDefault="002F124F" w:rsidP="002F124F">
      <w:pPr>
        <w:pStyle w:val="Akapitzlist2"/>
        <w:widowControl w:val="0"/>
        <w:numPr>
          <w:ilvl w:val="0"/>
          <w:numId w:val="1"/>
        </w:numPr>
        <w:tabs>
          <w:tab w:val="left" w:pos="851"/>
        </w:tabs>
        <w:suppressAutoHyphens/>
        <w:spacing w:after="0"/>
        <w:jc w:val="both"/>
        <w:rPr>
          <w:rFonts w:ascii="DINCE-Regular" w:hAnsi="DINCE-Regular" w:cs="Times New Roman"/>
          <w:color w:val="404040" w:themeColor="text1" w:themeTint="BF"/>
          <w:lang w:val="en-GB"/>
        </w:rPr>
      </w:pPr>
      <w:proofErr w:type="spellStart"/>
      <w:r w:rsidRPr="00B12AD7">
        <w:rPr>
          <w:rFonts w:ascii="DINCE-Regular" w:hAnsi="DINCE-Regular" w:cs="Times New Roman"/>
          <w:color w:val="404040" w:themeColor="text1" w:themeTint="BF"/>
          <w:lang w:val="en-GB"/>
        </w:rPr>
        <w:t>Analyze</w:t>
      </w:r>
      <w:proofErr w:type="spellEnd"/>
      <w:r w:rsidRPr="00B12AD7">
        <w:rPr>
          <w:rFonts w:ascii="DINCE-Regular" w:hAnsi="DINCE-Regular" w:cs="Times New Roman"/>
          <w:color w:val="404040" w:themeColor="text1" w:themeTint="BF"/>
          <w:lang w:val="en-GB"/>
        </w:rPr>
        <w:t xml:space="preserve"> the advantages and disadvantages of the region in the context of future development.</w:t>
      </w:r>
    </w:p>
    <w:p w14:paraId="6F21F5C4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Indicative Content</w:t>
      </w:r>
    </w:p>
    <w:p w14:paraId="04DE49A2" w14:textId="77777777" w:rsidR="002F124F" w:rsidRPr="00B12AD7" w:rsidRDefault="002F124F" w:rsidP="002F124F">
      <w:pPr>
        <w:tabs>
          <w:tab w:val="left" w:pos="4130"/>
        </w:tabs>
        <w:spacing w:line="276" w:lineRule="auto"/>
        <w:ind w:left="360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A. China</w:t>
      </w:r>
    </w:p>
    <w:p w14:paraId="5EBB6ED7" w14:textId="77777777" w:rsidR="002F124F" w:rsidRPr="00B12AD7" w:rsidRDefault="002F124F" w:rsidP="002F124F">
      <w:pPr>
        <w:pStyle w:val="ListParagraph"/>
        <w:numPr>
          <w:ilvl w:val="0"/>
          <w:numId w:val="3"/>
        </w:numPr>
        <w:spacing w:line="276" w:lineRule="auto"/>
        <w:ind w:left="714" w:hanging="357"/>
        <w:contextualSpacing w:val="0"/>
        <w:jc w:val="both"/>
        <w:rPr>
          <w:rFonts w:ascii="DINCE-Regular" w:hAnsi="DINCE-Regular"/>
          <w:color w:val="404040" w:themeColor="text1" w:themeTint="BF"/>
          <w:lang w:val="en-GB"/>
        </w:rPr>
      </w:pPr>
      <w:r w:rsidRPr="00B12AD7">
        <w:rPr>
          <w:rFonts w:ascii="DINCE-Regular" w:hAnsi="DINCE-Regular"/>
          <w:color w:val="404040" w:themeColor="text1" w:themeTint="BF"/>
          <w:lang w:val="en-GB"/>
        </w:rPr>
        <w:t>Chinese modern history and its relations to contemporary issues:</w:t>
      </w:r>
    </w:p>
    <w:p w14:paraId="579827A3" w14:textId="77777777" w:rsidR="002F124F" w:rsidRPr="00B12AD7" w:rsidRDefault="002F124F" w:rsidP="002F124F">
      <w:pPr>
        <w:pStyle w:val="ListParagraph"/>
        <w:numPr>
          <w:ilvl w:val="0"/>
          <w:numId w:val="3"/>
        </w:numPr>
        <w:spacing w:line="276" w:lineRule="auto"/>
        <w:ind w:left="714" w:hanging="357"/>
        <w:contextualSpacing w:val="0"/>
        <w:jc w:val="both"/>
        <w:rPr>
          <w:rFonts w:ascii="DINCE-Regular" w:hAnsi="DINCE-Regular"/>
          <w:color w:val="404040" w:themeColor="text1" w:themeTint="BF"/>
          <w:lang w:val="en-GB"/>
        </w:rPr>
      </w:pPr>
      <w:r w:rsidRPr="00B12AD7">
        <w:rPr>
          <w:rFonts w:ascii="DINCE-Regular" w:hAnsi="DINCE-Regular"/>
          <w:color w:val="404040" w:themeColor="text1" w:themeTint="BF"/>
          <w:lang w:val="en-GB"/>
        </w:rPr>
        <w:t>China's geography, population, etc.</w:t>
      </w:r>
    </w:p>
    <w:p w14:paraId="033589E3" w14:textId="77777777" w:rsidR="002F124F" w:rsidRPr="00B12AD7" w:rsidRDefault="002F124F" w:rsidP="002F124F">
      <w:pPr>
        <w:pStyle w:val="ListParagraph"/>
        <w:numPr>
          <w:ilvl w:val="0"/>
          <w:numId w:val="3"/>
        </w:numPr>
        <w:spacing w:line="276" w:lineRule="auto"/>
        <w:ind w:left="714" w:hanging="357"/>
        <w:contextualSpacing w:val="0"/>
        <w:jc w:val="both"/>
        <w:rPr>
          <w:rFonts w:ascii="DINCE-Regular" w:hAnsi="DINCE-Regular"/>
          <w:color w:val="404040" w:themeColor="text1" w:themeTint="BF"/>
          <w:lang w:val="en-GB"/>
        </w:rPr>
      </w:pPr>
      <w:r w:rsidRPr="00B12AD7">
        <w:rPr>
          <w:rFonts w:ascii="DINCE-Regular" w:hAnsi="DINCE-Regular"/>
          <w:color w:val="404040" w:themeColor="text1" w:themeTint="BF"/>
          <w:lang w:val="en-GB"/>
        </w:rPr>
        <w:t>China political and administrative system</w:t>
      </w:r>
    </w:p>
    <w:p w14:paraId="37F76BA2" w14:textId="77777777" w:rsidR="002F124F" w:rsidRPr="00B12AD7" w:rsidRDefault="002F124F" w:rsidP="002F124F">
      <w:pPr>
        <w:pStyle w:val="ListParagraph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DINCE-Regular" w:hAnsi="DINCE-Regular"/>
          <w:color w:val="404040" w:themeColor="text1" w:themeTint="BF"/>
          <w:lang w:val="en-GB"/>
        </w:rPr>
      </w:pPr>
      <w:r w:rsidRPr="00B12AD7">
        <w:rPr>
          <w:rFonts w:ascii="DINCE-Regular" w:hAnsi="DINCE-Regular"/>
          <w:color w:val="404040" w:themeColor="text1" w:themeTint="BF"/>
          <w:lang w:val="en-GB"/>
        </w:rPr>
        <w:t>International relations</w:t>
      </w:r>
    </w:p>
    <w:p w14:paraId="29E8F91A" w14:textId="77777777" w:rsidR="002F124F" w:rsidRPr="00B12AD7" w:rsidRDefault="002F124F" w:rsidP="002F124F">
      <w:pPr>
        <w:pStyle w:val="ListParagraph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DINCE-Regular" w:hAnsi="DINCE-Regular"/>
          <w:color w:val="404040" w:themeColor="text1" w:themeTint="BF"/>
          <w:lang w:val="en-GB"/>
        </w:rPr>
      </w:pPr>
      <w:r w:rsidRPr="00B12AD7">
        <w:rPr>
          <w:rFonts w:ascii="DINCE-Regular" w:hAnsi="DINCE-Regular"/>
          <w:color w:val="404040" w:themeColor="text1" w:themeTint="BF"/>
          <w:lang w:val="en-GB"/>
        </w:rPr>
        <w:t>China's economy transformation</w:t>
      </w:r>
    </w:p>
    <w:p w14:paraId="69A91D5B" w14:textId="77777777" w:rsidR="002F124F" w:rsidRPr="00B12AD7" w:rsidRDefault="002F124F" w:rsidP="002F124F">
      <w:pPr>
        <w:pStyle w:val="ListParagraph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DINCE-Regular" w:hAnsi="DINCE-Regular"/>
          <w:color w:val="404040" w:themeColor="text1" w:themeTint="BF"/>
          <w:lang w:val="en-GB"/>
        </w:rPr>
      </w:pPr>
      <w:r w:rsidRPr="00B12AD7">
        <w:rPr>
          <w:rFonts w:ascii="DINCE-Regular" w:hAnsi="DINCE-Regular"/>
          <w:color w:val="404040" w:themeColor="text1" w:themeTint="BF"/>
          <w:lang w:val="en-GB"/>
        </w:rPr>
        <w:t xml:space="preserve">Face, </w:t>
      </w:r>
      <w:r w:rsidRPr="00B12AD7">
        <w:rPr>
          <w:rFonts w:ascii="DINCE-Regular" w:hAnsi="DINCE-Regular"/>
          <w:i/>
          <w:color w:val="404040" w:themeColor="text1" w:themeTint="BF"/>
          <w:lang w:val="en-GB"/>
        </w:rPr>
        <w:t>Guanxi</w:t>
      </w:r>
    </w:p>
    <w:p w14:paraId="17D80DC5" w14:textId="77777777" w:rsidR="002F124F" w:rsidRPr="00B12AD7" w:rsidRDefault="002F124F" w:rsidP="002F124F">
      <w:pPr>
        <w:pStyle w:val="ListParagraph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DINCE-Regular" w:hAnsi="DINCE-Regular"/>
          <w:color w:val="404040" w:themeColor="text1" w:themeTint="BF"/>
          <w:lang w:val="en-GB"/>
        </w:rPr>
      </w:pPr>
      <w:r w:rsidRPr="00B12AD7">
        <w:rPr>
          <w:rFonts w:ascii="DINCE-Regular" w:hAnsi="DINCE-Regular"/>
          <w:color w:val="404040" w:themeColor="text1" w:themeTint="BF"/>
          <w:lang w:val="en-GB"/>
        </w:rPr>
        <w:t>Ideology and nationalism</w:t>
      </w:r>
    </w:p>
    <w:p w14:paraId="5694ECA5" w14:textId="77777777" w:rsidR="002F124F" w:rsidRPr="00B12AD7" w:rsidRDefault="002F124F" w:rsidP="002F124F">
      <w:pPr>
        <w:pStyle w:val="ListParagraph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DINCE-Regular" w:hAnsi="DINCE-Regular"/>
          <w:b/>
          <w:color w:val="404040" w:themeColor="text1" w:themeTint="BF"/>
          <w:lang w:val="en-GB"/>
        </w:rPr>
      </w:pPr>
      <w:r w:rsidRPr="00B12AD7">
        <w:rPr>
          <w:rFonts w:ascii="DINCE-Regular" w:hAnsi="DINCE-Regular"/>
          <w:color w:val="404040" w:themeColor="text1" w:themeTint="BF"/>
          <w:lang w:val="en-GB"/>
        </w:rPr>
        <w:t>Social changes</w:t>
      </w:r>
    </w:p>
    <w:p w14:paraId="2A476AFB" w14:textId="77777777" w:rsidR="002F124F" w:rsidRPr="00B12AD7" w:rsidRDefault="002F124F" w:rsidP="002F124F">
      <w:pPr>
        <w:tabs>
          <w:tab w:val="left" w:pos="4130"/>
        </w:tabs>
        <w:spacing w:line="276" w:lineRule="auto"/>
        <w:ind w:left="360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 xml:space="preserve">B. Vietnam </w:t>
      </w:r>
    </w:p>
    <w:p w14:paraId="10DFEE63" w14:textId="77777777" w:rsidR="002F124F" w:rsidRPr="00B12AD7" w:rsidRDefault="002F124F" w:rsidP="002F124F">
      <w:pPr>
        <w:pStyle w:val="ListParagraph"/>
        <w:numPr>
          <w:ilvl w:val="0"/>
          <w:numId w:val="4"/>
        </w:numPr>
        <w:spacing w:after="200" w:line="276" w:lineRule="auto"/>
        <w:contextualSpacing w:val="0"/>
        <w:jc w:val="both"/>
        <w:rPr>
          <w:rFonts w:ascii="DINCE-Regular" w:hAnsi="DINCE-Regular"/>
          <w:b/>
          <w:color w:val="404040" w:themeColor="text1" w:themeTint="BF"/>
          <w:lang w:val="en-GB"/>
        </w:rPr>
      </w:pPr>
      <w:r w:rsidRPr="00B12AD7">
        <w:rPr>
          <w:rFonts w:ascii="DINCE-Regular" w:hAnsi="DINCE-Regular"/>
          <w:color w:val="404040" w:themeColor="text1" w:themeTint="BF"/>
          <w:lang w:val="en-GB"/>
        </w:rPr>
        <w:t xml:space="preserve">Vietnamese Culture origins, Vietnam’s modern history, contemporary Vietnam: wars heritage, China’s “smaller copy”, mixture of cultures and influences </w:t>
      </w:r>
    </w:p>
    <w:p w14:paraId="79C8FF36" w14:textId="77777777" w:rsidR="002F124F" w:rsidRPr="00B12AD7" w:rsidRDefault="002F124F" w:rsidP="002F124F">
      <w:pPr>
        <w:tabs>
          <w:tab w:val="left" w:pos="4130"/>
        </w:tabs>
        <w:spacing w:line="276" w:lineRule="auto"/>
        <w:ind w:left="360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 xml:space="preserve">C. Japan </w:t>
      </w:r>
    </w:p>
    <w:p w14:paraId="2EF3C41D" w14:textId="77777777" w:rsidR="002F124F" w:rsidRPr="00B12AD7" w:rsidRDefault="002F124F" w:rsidP="002F124F">
      <w:pPr>
        <w:pStyle w:val="ListParagraph"/>
        <w:numPr>
          <w:ilvl w:val="0"/>
          <w:numId w:val="4"/>
        </w:numPr>
        <w:spacing w:line="276" w:lineRule="auto"/>
        <w:ind w:left="714" w:hanging="357"/>
        <w:contextualSpacing w:val="0"/>
        <w:jc w:val="both"/>
        <w:rPr>
          <w:rFonts w:ascii="DINCE-Regular" w:hAnsi="DINCE-Regular"/>
          <w:color w:val="404040" w:themeColor="text1" w:themeTint="BF"/>
          <w:lang w:val="en-GB"/>
        </w:rPr>
      </w:pPr>
      <w:r w:rsidRPr="00B12AD7">
        <w:rPr>
          <w:rFonts w:ascii="DINCE-Regular" w:hAnsi="DINCE-Regular"/>
          <w:color w:val="404040" w:themeColor="text1" w:themeTint="BF"/>
          <w:lang w:val="en-GB"/>
        </w:rPr>
        <w:t>Japanese Culture origins (indigenous or Chinese?), Japan modern history</w:t>
      </w:r>
    </w:p>
    <w:p w14:paraId="58B74C00" w14:textId="77777777" w:rsidR="002F124F" w:rsidRPr="00B12AD7" w:rsidRDefault="002F124F" w:rsidP="002F124F">
      <w:pPr>
        <w:pStyle w:val="ListParagraph"/>
        <w:numPr>
          <w:ilvl w:val="0"/>
          <w:numId w:val="4"/>
        </w:numPr>
        <w:spacing w:line="276" w:lineRule="auto"/>
        <w:ind w:left="714" w:hanging="357"/>
        <w:contextualSpacing w:val="0"/>
        <w:jc w:val="both"/>
        <w:rPr>
          <w:rFonts w:ascii="DINCE-Regular" w:hAnsi="DINCE-Regular"/>
          <w:b/>
          <w:color w:val="404040" w:themeColor="text1" w:themeTint="BF"/>
          <w:lang w:val="en-GB"/>
        </w:rPr>
      </w:pPr>
      <w:r w:rsidRPr="00B12AD7">
        <w:rPr>
          <w:rFonts w:ascii="DINCE-Regular" w:hAnsi="DINCE-Regular"/>
          <w:color w:val="404040" w:themeColor="text1" w:themeTint="BF"/>
          <w:lang w:val="en-GB"/>
        </w:rPr>
        <w:t xml:space="preserve">Contemporary Japan economic success, </w:t>
      </w:r>
      <w:proofErr w:type="gramStart"/>
      <w:r w:rsidRPr="00B12AD7">
        <w:rPr>
          <w:rFonts w:ascii="DINCE-Regular" w:hAnsi="DINCE-Regular"/>
          <w:color w:val="404040" w:themeColor="text1" w:themeTint="BF"/>
          <w:lang w:val="en-GB"/>
        </w:rPr>
        <w:t>Social</w:t>
      </w:r>
      <w:proofErr w:type="gramEnd"/>
      <w:r w:rsidRPr="00B12AD7">
        <w:rPr>
          <w:rFonts w:ascii="DINCE-Regular" w:hAnsi="DINCE-Regular"/>
          <w:color w:val="404040" w:themeColor="text1" w:themeTint="BF"/>
          <w:lang w:val="en-GB"/>
        </w:rPr>
        <w:t xml:space="preserve"> problems in contemporary Japan </w:t>
      </w:r>
    </w:p>
    <w:p w14:paraId="0AEB7013" w14:textId="77777777" w:rsidR="002F124F" w:rsidRPr="00B12AD7" w:rsidRDefault="002F124F" w:rsidP="002F124F">
      <w:pPr>
        <w:tabs>
          <w:tab w:val="left" w:pos="4130"/>
        </w:tabs>
        <w:spacing w:line="276" w:lineRule="auto"/>
        <w:ind w:left="360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D. Korea</w:t>
      </w:r>
    </w:p>
    <w:p w14:paraId="053734BD" w14:textId="77777777" w:rsidR="002F124F" w:rsidRPr="00B12AD7" w:rsidRDefault="002F124F" w:rsidP="002F124F">
      <w:pPr>
        <w:pStyle w:val="ListParagraph"/>
        <w:numPr>
          <w:ilvl w:val="0"/>
          <w:numId w:val="5"/>
        </w:numPr>
        <w:spacing w:line="276" w:lineRule="auto"/>
        <w:ind w:left="714" w:hanging="357"/>
        <w:contextualSpacing w:val="0"/>
        <w:jc w:val="both"/>
        <w:rPr>
          <w:rFonts w:ascii="DINCE-Regular" w:hAnsi="DINCE-Regular"/>
          <w:color w:val="404040" w:themeColor="text1" w:themeTint="BF"/>
          <w:lang w:val="en-GB"/>
        </w:rPr>
      </w:pPr>
      <w:r w:rsidRPr="00B12AD7">
        <w:rPr>
          <w:rFonts w:ascii="DINCE-Regular" w:hAnsi="DINCE-Regular"/>
          <w:color w:val="404040" w:themeColor="text1" w:themeTint="BF"/>
          <w:lang w:val="en-GB"/>
        </w:rPr>
        <w:t>Korean Culture origins, independent state versus Chinese influence, Korea as a state, modern history, Japanese occupation, Korean War, Country division</w:t>
      </w:r>
    </w:p>
    <w:p w14:paraId="31EEF41A" w14:textId="77777777" w:rsidR="002F124F" w:rsidRPr="00B12AD7" w:rsidRDefault="002F124F" w:rsidP="002F124F">
      <w:pPr>
        <w:pStyle w:val="ListParagraph"/>
        <w:numPr>
          <w:ilvl w:val="0"/>
          <w:numId w:val="5"/>
        </w:numPr>
        <w:spacing w:line="276" w:lineRule="auto"/>
        <w:ind w:left="714" w:hanging="357"/>
        <w:contextualSpacing w:val="0"/>
        <w:jc w:val="both"/>
        <w:rPr>
          <w:rFonts w:ascii="DINCE-Regular" w:hAnsi="DINCE-Regular"/>
          <w:color w:val="404040" w:themeColor="text1" w:themeTint="BF"/>
          <w:lang w:val="en-GB"/>
        </w:rPr>
      </w:pPr>
      <w:r w:rsidRPr="00B12AD7">
        <w:rPr>
          <w:rFonts w:ascii="DINCE-Regular" w:hAnsi="DINCE-Regular"/>
          <w:color w:val="404040" w:themeColor="text1" w:themeTint="BF"/>
          <w:lang w:val="en-GB"/>
        </w:rPr>
        <w:t>Contemporary Korea</w:t>
      </w:r>
    </w:p>
    <w:p w14:paraId="37176130" w14:textId="77777777" w:rsidR="002F124F" w:rsidRPr="00B12AD7" w:rsidRDefault="002F124F" w:rsidP="002F124F">
      <w:pPr>
        <w:pStyle w:val="ListParagraph"/>
        <w:numPr>
          <w:ilvl w:val="0"/>
          <w:numId w:val="6"/>
        </w:numPr>
        <w:spacing w:line="276" w:lineRule="auto"/>
        <w:ind w:left="1071" w:hanging="357"/>
        <w:contextualSpacing w:val="0"/>
        <w:jc w:val="both"/>
        <w:rPr>
          <w:rFonts w:ascii="DINCE-Regular" w:hAnsi="DINCE-Regular"/>
          <w:color w:val="404040" w:themeColor="text1" w:themeTint="BF"/>
          <w:lang w:val="en-GB"/>
        </w:rPr>
      </w:pPr>
      <w:r w:rsidRPr="00B12AD7">
        <w:rPr>
          <w:rFonts w:ascii="DINCE-Regular" w:hAnsi="DINCE-Regular"/>
          <w:color w:val="404040" w:themeColor="text1" w:themeTint="BF"/>
          <w:lang w:val="en-GB"/>
        </w:rPr>
        <w:t xml:space="preserve">North Korea: </w:t>
      </w:r>
      <w:proofErr w:type="spellStart"/>
      <w:r w:rsidRPr="00B12AD7">
        <w:rPr>
          <w:rFonts w:ascii="DINCE-Regular" w:hAnsi="DINCE-Regular"/>
          <w:i/>
          <w:color w:val="404040" w:themeColor="text1" w:themeTint="BF"/>
          <w:lang w:val="en-GB"/>
        </w:rPr>
        <w:t>juche</w:t>
      </w:r>
      <w:proofErr w:type="spellEnd"/>
      <w:r w:rsidRPr="00B12AD7">
        <w:rPr>
          <w:rFonts w:ascii="DINCE-Regular" w:hAnsi="DINCE-Regular"/>
          <w:color w:val="404040" w:themeColor="text1" w:themeTint="BF"/>
          <w:lang w:val="en-GB"/>
        </w:rPr>
        <w:t xml:space="preserve"> ideology, Kim Il Sung eternal president, military regime, North Korea nowadays</w:t>
      </w:r>
    </w:p>
    <w:p w14:paraId="16F83CD1" w14:textId="77777777" w:rsidR="002F124F" w:rsidRPr="00B12AD7" w:rsidRDefault="002F124F" w:rsidP="002F124F">
      <w:pPr>
        <w:pStyle w:val="ListParagraph"/>
        <w:numPr>
          <w:ilvl w:val="0"/>
          <w:numId w:val="6"/>
        </w:numPr>
        <w:spacing w:line="276" w:lineRule="auto"/>
        <w:ind w:left="1071" w:hanging="357"/>
        <w:contextualSpacing w:val="0"/>
        <w:jc w:val="both"/>
        <w:rPr>
          <w:rFonts w:ascii="DINCE-Regular" w:hAnsi="DINCE-Regular"/>
          <w:b/>
          <w:color w:val="404040" w:themeColor="text1" w:themeTint="BF"/>
          <w:lang w:val="en-GB"/>
        </w:rPr>
      </w:pPr>
      <w:r w:rsidRPr="00B12AD7">
        <w:rPr>
          <w:rFonts w:ascii="DINCE-Regular" w:hAnsi="DINCE-Regular"/>
          <w:color w:val="404040" w:themeColor="text1" w:themeTint="BF"/>
          <w:lang w:val="en-GB"/>
        </w:rPr>
        <w:t xml:space="preserve">South Korea: </w:t>
      </w:r>
      <w:proofErr w:type="gramStart"/>
      <w:r w:rsidRPr="00B12AD7">
        <w:rPr>
          <w:rFonts w:ascii="DINCE-Regular" w:hAnsi="DINCE-Regular"/>
          <w:color w:val="404040" w:themeColor="text1" w:themeTint="BF"/>
          <w:lang w:val="en-GB"/>
        </w:rPr>
        <w:t>generals</w:t>
      </w:r>
      <w:proofErr w:type="gramEnd"/>
      <w:r w:rsidRPr="00B12AD7">
        <w:rPr>
          <w:rFonts w:ascii="DINCE-Regular" w:hAnsi="DINCE-Regular"/>
          <w:color w:val="404040" w:themeColor="text1" w:themeTint="BF"/>
          <w:lang w:val="en-GB"/>
        </w:rPr>
        <w:t xml:space="preserve"> power, strikes and unrests, economic success, South Korea nowadays</w:t>
      </w:r>
    </w:p>
    <w:p w14:paraId="4C41D140" w14:textId="77777777" w:rsidR="002F124F" w:rsidRPr="00B12AD7" w:rsidRDefault="002F124F" w:rsidP="002F124F">
      <w:pPr>
        <w:spacing w:line="276" w:lineRule="auto"/>
        <w:jc w:val="both"/>
        <w:rPr>
          <w:rFonts w:ascii="DINCE-Regular" w:hAnsi="DINCE-Regular"/>
          <w:b/>
          <w:color w:val="404040" w:themeColor="text1" w:themeTint="BF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lang w:val="en-GB"/>
        </w:rPr>
        <w:t>Summary – East Asia nowadays and perspectives for future</w:t>
      </w:r>
    </w:p>
    <w:p w14:paraId="14056E5A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Teaching and Learning</w:t>
      </w:r>
    </w:p>
    <w:p w14:paraId="2F672DF7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This module will be taught by means of seminars, workshops, and self-directed study.</w:t>
      </w:r>
    </w:p>
    <w:p w14:paraId="245B2A35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Formative Assessment: Comments will be given on assessments, and tutorial guidance will be provided for coursework and exam.</w:t>
      </w:r>
    </w:p>
    <w:p w14:paraId="586F060C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 w:eastAsia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 w:eastAsia="en-GB"/>
        </w:rPr>
        <w:t xml:space="preserve">Student activity and time spent on each activity comprises: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025"/>
        <w:gridCol w:w="620"/>
      </w:tblGrid>
      <w:tr w:rsidR="002F124F" w:rsidRPr="00B12AD7" w14:paraId="0133929C" w14:textId="77777777" w:rsidTr="00FE71EB">
        <w:trPr>
          <w:trHeight w:val="432"/>
          <w:tblCellSpacing w:w="15" w:type="dxa"/>
        </w:trPr>
        <w:tc>
          <w:tcPr>
            <w:tcW w:w="0" w:type="auto"/>
            <w:tcMar>
              <w:top w:w="15" w:type="dxa"/>
              <w:left w:w="480" w:type="dxa"/>
              <w:bottom w:w="15" w:type="dxa"/>
              <w:right w:w="240" w:type="dxa"/>
            </w:tcMar>
            <w:vAlign w:val="center"/>
          </w:tcPr>
          <w:p w14:paraId="3647EF8C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b/>
                <w:bCs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b/>
                <w:color w:val="404040" w:themeColor="text1" w:themeTint="BF"/>
                <w:sz w:val="22"/>
                <w:szCs w:val="22"/>
                <w:lang w:val="en-GB"/>
              </w:rPr>
              <w:t>Guided</w:t>
            </w:r>
          </w:p>
        </w:tc>
        <w:tc>
          <w:tcPr>
            <w:tcW w:w="0" w:type="auto"/>
            <w:vAlign w:val="center"/>
          </w:tcPr>
          <w:p w14:paraId="00BDAB00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/>
              </w:rPr>
              <w:t>0 hours</w:t>
            </w:r>
          </w:p>
        </w:tc>
        <w:tc>
          <w:tcPr>
            <w:tcW w:w="0" w:type="auto"/>
            <w:vAlign w:val="center"/>
          </w:tcPr>
          <w:p w14:paraId="0755CA03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/>
              </w:rPr>
              <w:t>(0%)</w:t>
            </w:r>
          </w:p>
        </w:tc>
      </w:tr>
      <w:tr w:rsidR="002F124F" w:rsidRPr="00B12AD7" w14:paraId="7E2532CB" w14:textId="77777777" w:rsidTr="00FE71EB">
        <w:trPr>
          <w:trHeight w:val="432"/>
          <w:tblCellSpacing w:w="15" w:type="dxa"/>
        </w:trPr>
        <w:tc>
          <w:tcPr>
            <w:tcW w:w="0" w:type="auto"/>
            <w:tcMar>
              <w:top w:w="15" w:type="dxa"/>
              <w:left w:w="480" w:type="dxa"/>
              <w:bottom w:w="15" w:type="dxa"/>
              <w:right w:w="240" w:type="dxa"/>
            </w:tcMar>
            <w:vAlign w:val="center"/>
          </w:tcPr>
          <w:p w14:paraId="328C2E85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b/>
                <w:bCs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b/>
                <w:color w:val="404040" w:themeColor="text1" w:themeTint="BF"/>
                <w:sz w:val="22"/>
                <w:szCs w:val="22"/>
                <w:lang w:val="en-GB"/>
              </w:rPr>
              <w:t>Lecture</w:t>
            </w:r>
          </w:p>
        </w:tc>
        <w:tc>
          <w:tcPr>
            <w:tcW w:w="0" w:type="auto"/>
            <w:vAlign w:val="center"/>
          </w:tcPr>
          <w:p w14:paraId="46E17D38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/>
              </w:rPr>
              <w:t>0 hours</w:t>
            </w:r>
          </w:p>
        </w:tc>
        <w:tc>
          <w:tcPr>
            <w:tcW w:w="0" w:type="auto"/>
            <w:vAlign w:val="center"/>
          </w:tcPr>
          <w:p w14:paraId="538DB352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/>
              </w:rPr>
              <w:t>(0%)</w:t>
            </w:r>
          </w:p>
        </w:tc>
      </w:tr>
      <w:tr w:rsidR="002F124F" w:rsidRPr="00B12AD7" w14:paraId="0E37E020" w14:textId="77777777" w:rsidTr="00FE71EB">
        <w:trPr>
          <w:trHeight w:val="432"/>
          <w:tblCellSpacing w:w="15" w:type="dxa"/>
        </w:trPr>
        <w:tc>
          <w:tcPr>
            <w:tcW w:w="0" w:type="auto"/>
            <w:tcMar>
              <w:top w:w="15" w:type="dxa"/>
              <w:left w:w="480" w:type="dxa"/>
              <w:bottom w:w="15" w:type="dxa"/>
              <w:right w:w="240" w:type="dxa"/>
            </w:tcMar>
            <w:vAlign w:val="center"/>
          </w:tcPr>
          <w:p w14:paraId="741A8610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b/>
                <w:bCs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b/>
                <w:color w:val="404040" w:themeColor="text1" w:themeTint="BF"/>
                <w:sz w:val="22"/>
                <w:szCs w:val="22"/>
                <w:lang w:val="en-GB"/>
              </w:rPr>
              <w:t>Self-guided</w:t>
            </w:r>
          </w:p>
        </w:tc>
        <w:tc>
          <w:tcPr>
            <w:tcW w:w="0" w:type="auto"/>
            <w:vAlign w:val="center"/>
          </w:tcPr>
          <w:p w14:paraId="3895F871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/>
              </w:rPr>
              <w:t>60 hours</w:t>
            </w:r>
          </w:p>
        </w:tc>
        <w:tc>
          <w:tcPr>
            <w:tcW w:w="0" w:type="auto"/>
            <w:vAlign w:val="center"/>
          </w:tcPr>
          <w:p w14:paraId="6C68DECA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/>
              </w:rPr>
              <w:t>(60%)</w:t>
            </w:r>
          </w:p>
        </w:tc>
      </w:tr>
      <w:tr w:rsidR="002F124F" w:rsidRPr="00B12AD7" w14:paraId="136446B5" w14:textId="77777777" w:rsidTr="00FE71EB">
        <w:trPr>
          <w:trHeight w:val="432"/>
          <w:tblCellSpacing w:w="15" w:type="dxa"/>
        </w:trPr>
        <w:tc>
          <w:tcPr>
            <w:tcW w:w="0" w:type="auto"/>
            <w:tcMar>
              <w:top w:w="15" w:type="dxa"/>
              <w:left w:w="480" w:type="dxa"/>
              <w:bottom w:w="15" w:type="dxa"/>
              <w:right w:w="240" w:type="dxa"/>
            </w:tcMar>
            <w:vAlign w:val="center"/>
          </w:tcPr>
          <w:p w14:paraId="109DDEF4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b/>
                <w:bCs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b/>
                <w:color w:val="404040" w:themeColor="text1" w:themeTint="BF"/>
                <w:sz w:val="22"/>
                <w:szCs w:val="22"/>
                <w:lang w:val="en-GB"/>
              </w:rPr>
              <w:lastRenderedPageBreak/>
              <w:t>Seminar</w:t>
            </w:r>
          </w:p>
        </w:tc>
        <w:tc>
          <w:tcPr>
            <w:tcW w:w="0" w:type="auto"/>
            <w:vAlign w:val="center"/>
          </w:tcPr>
          <w:p w14:paraId="137EFA61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/>
              </w:rPr>
              <w:t>30 hours</w:t>
            </w:r>
          </w:p>
        </w:tc>
        <w:tc>
          <w:tcPr>
            <w:tcW w:w="0" w:type="auto"/>
            <w:vAlign w:val="center"/>
          </w:tcPr>
          <w:p w14:paraId="09581683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/>
              </w:rPr>
              <w:t>(30%)</w:t>
            </w:r>
          </w:p>
        </w:tc>
      </w:tr>
      <w:tr w:rsidR="002F124F" w:rsidRPr="00B12AD7" w14:paraId="0F9D26B2" w14:textId="77777777" w:rsidTr="00FE71EB">
        <w:trPr>
          <w:trHeight w:val="432"/>
          <w:tblCellSpacing w:w="15" w:type="dxa"/>
        </w:trPr>
        <w:tc>
          <w:tcPr>
            <w:tcW w:w="0" w:type="auto"/>
            <w:tcMar>
              <w:top w:w="15" w:type="dxa"/>
              <w:left w:w="480" w:type="dxa"/>
              <w:bottom w:w="15" w:type="dxa"/>
              <w:right w:w="240" w:type="dxa"/>
            </w:tcMar>
            <w:vAlign w:val="center"/>
          </w:tcPr>
          <w:p w14:paraId="08F93A31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b/>
                <w:bCs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b/>
                <w:color w:val="404040" w:themeColor="text1" w:themeTint="BF"/>
                <w:sz w:val="22"/>
                <w:szCs w:val="22"/>
                <w:lang w:val="en-GB"/>
              </w:rPr>
              <w:t>Workshop</w:t>
            </w:r>
          </w:p>
        </w:tc>
        <w:tc>
          <w:tcPr>
            <w:tcW w:w="0" w:type="auto"/>
            <w:vAlign w:val="center"/>
          </w:tcPr>
          <w:p w14:paraId="5C3A1243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/>
              </w:rPr>
              <w:t>10 hours</w:t>
            </w:r>
          </w:p>
        </w:tc>
        <w:tc>
          <w:tcPr>
            <w:tcW w:w="0" w:type="auto"/>
            <w:vAlign w:val="center"/>
          </w:tcPr>
          <w:p w14:paraId="3ADB717A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/>
              </w:rPr>
              <w:t>(10%)</w:t>
            </w:r>
          </w:p>
        </w:tc>
      </w:tr>
      <w:tr w:rsidR="002F124F" w:rsidRPr="00B12AD7" w14:paraId="02423D8E" w14:textId="77777777" w:rsidTr="00FE71EB">
        <w:trPr>
          <w:trHeight w:val="432"/>
          <w:tblCellSpacing w:w="15" w:type="dxa"/>
        </w:trPr>
        <w:tc>
          <w:tcPr>
            <w:tcW w:w="0" w:type="auto"/>
            <w:tcMar>
              <w:top w:w="15" w:type="dxa"/>
              <w:left w:w="480" w:type="dxa"/>
              <w:bottom w:w="15" w:type="dxa"/>
              <w:right w:w="240" w:type="dxa"/>
            </w:tcMar>
            <w:vAlign w:val="center"/>
          </w:tcPr>
          <w:p w14:paraId="1AE2382F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b/>
                <w:bCs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b/>
                <w:color w:val="404040" w:themeColor="text1" w:themeTint="BF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0" w:type="auto"/>
            <w:vAlign w:val="center"/>
          </w:tcPr>
          <w:p w14:paraId="73921B6B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/>
              </w:rPr>
              <w:t>100 hours</w:t>
            </w:r>
          </w:p>
        </w:tc>
        <w:tc>
          <w:tcPr>
            <w:tcW w:w="0" w:type="auto"/>
            <w:vAlign w:val="center"/>
          </w:tcPr>
          <w:p w14:paraId="4732C87D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/>
              </w:rPr>
              <w:t> </w:t>
            </w:r>
          </w:p>
        </w:tc>
      </w:tr>
    </w:tbl>
    <w:p w14:paraId="42401168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 xml:space="preserve">Method </w:t>
      </w:r>
      <w:r w:rsidRPr="00B12AD7">
        <w:rPr>
          <w:rFonts w:ascii="DINCE-Regular" w:hAnsi="DINCE-Regular"/>
          <w:b/>
          <w:bCs/>
          <w:color w:val="404040" w:themeColor="text1" w:themeTint="BF"/>
          <w:sz w:val="22"/>
          <w:szCs w:val="22"/>
          <w:lang w:val="en-GB" w:eastAsia="en-GB"/>
        </w:rPr>
        <w:t>of</w:t>
      </w: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 xml:space="preserve"> Assessment (normally assessed as follows)</w:t>
      </w:r>
    </w:p>
    <w:p w14:paraId="2EE88BB1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The intended learning outcomes will be assessed as follows:</w:t>
      </w:r>
    </w:p>
    <w:p w14:paraId="2A43C5AA" w14:textId="58728B10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Essay (60% – </w:t>
      </w:r>
      <w:r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3</w:t>
      </w: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 Credits): </w:t>
      </w: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 w:eastAsia="en-GB"/>
        </w:rPr>
        <w:t>3000</w:t>
      </w: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 words; contributes to learning outcomes 1, 2, 3</w:t>
      </w:r>
    </w:p>
    <w:p w14:paraId="0502E5BA" w14:textId="6D56776C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Final exam (40% – </w:t>
      </w:r>
      <w:r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2</w:t>
      </w: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 Credits): 120 minutes; contributes to learning outcomes 1, 2, 3, 4</w:t>
      </w:r>
    </w:p>
    <w:p w14:paraId="5B33B150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Re-sit</w:t>
      </w:r>
    </w:p>
    <w:p w14:paraId="6926325C" w14:textId="77777777" w:rsidR="002F124F" w:rsidRPr="00B12AD7" w:rsidRDefault="002F124F" w:rsidP="002F124F">
      <w:pPr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Students failing any component of assessment, at the first attempt, are entitled to one re-sit attempt. This will be by new examination and/or new coursework scheduled for the next assessment opportunity. For coursework, if more than one element existed in the first attempt, this may be combined into one assessment for re-sit</w:t>
      </w:r>
    </w:p>
    <w:p w14:paraId="7966EDA0" w14:textId="77777777" w:rsidR="002F124F" w:rsidRPr="00B12AD7" w:rsidRDefault="002F124F" w:rsidP="002F124F">
      <w:pPr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Date of last amendment</w:t>
      </w:r>
    </w:p>
    <w:p w14:paraId="7CB71D24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25-10-2016</w:t>
      </w:r>
    </w:p>
    <w:p w14:paraId="17E5DE40" w14:textId="77777777" w:rsidR="002F124F" w:rsidRPr="00B12AD7" w:rsidRDefault="002F124F" w:rsidP="002F124F">
      <w:pPr>
        <w:pStyle w:val="Heading3"/>
        <w:spacing w:line="276" w:lineRule="auto"/>
        <w:jc w:val="both"/>
        <w:rPr>
          <w:rFonts w:ascii="DINCE-Regular" w:hAnsi="DINCE-Regular" w:cs="Times New Roman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 w:cs="Times New Roman"/>
          <w:color w:val="404040" w:themeColor="text1" w:themeTint="BF"/>
          <w:sz w:val="22"/>
          <w:szCs w:val="22"/>
          <w:lang w:val="en-GB"/>
        </w:rPr>
        <w:t>3. MODULE RESOURCES</w:t>
      </w:r>
    </w:p>
    <w:p w14:paraId="688BED94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Essential Reading</w:t>
      </w:r>
    </w:p>
    <w:p w14:paraId="5B2626AC" w14:textId="77777777" w:rsidR="002F124F" w:rsidRPr="00B12AD7" w:rsidRDefault="002F124F" w:rsidP="002F124F">
      <w:pPr>
        <w:spacing w:line="276" w:lineRule="auto"/>
        <w:ind w:left="720" w:hanging="720"/>
        <w:jc w:val="both"/>
        <w:rPr>
          <w:rFonts w:ascii="DINCE-Regular" w:hAnsi="DINCE-Regular"/>
          <w:color w:val="404040" w:themeColor="text1" w:themeTint="BF"/>
          <w:sz w:val="22"/>
          <w:szCs w:val="22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Hayes, L.D., 2012. </w:t>
      </w:r>
      <w:r w:rsidRPr="00B12AD7">
        <w:rPr>
          <w:rFonts w:ascii="DINCE-Regular" w:hAnsi="DINCE-Regular"/>
          <w:i/>
          <w:color w:val="404040" w:themeColor="text1" w:themeTint="BF"/>
          <w:sz w:val="22"/>
          <w:szCs w:val="22"/>
          <w:lang w:val="en-GB"/>
        </w:rPr>
        <w:t>Political systems of East Asia. China Korea and Japan.</w:t>
      </w: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 Hoboken: Taylor and Francis.</w:t>
      </w:r>
    </w:p>
    <w:p w14:paraId="61A68181" w14:textId="77777777" w:rsidR="002F124F" w:rsidRPr="00B12AD7" w:rsidRDefault="002F124F" w:rsidP="002F124F">
      <w:pPr>
        <w:spacing w:line="276" w:lineRule="auto"/>
        <w:ind w:left="720" w:hanging="720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Alan, H., Jay, S., 1999. </w:t>
      </w:r>
      <w:r w:rsidRPr="00B12AD7">
        <w:rPr>
          <w:rFonts w:ascii="DINCE-Regular" w:hAnsi="DINCE-Regular"/>
          <w:i/>
          <w:color w:val="404040" w:themeColor="text1" w:themeTint="BF"/>
          <w:sz w:val="22"/>
          <w:szCs w:val="22"/>
          <w:lang w:val="en-GB"/>
        </w:rPr>
        <w:t>Contemporary China</w:t>
      </w: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. London: Macmillan Education.</w:t>
      </w:r>
    </w:p>
    <w:p w14:paraId="4BC316B7" w14:textId="77777777" w:rsidR="002F124F" w:rsidRPr="00B12AD7" w:rsidRDefault="002F124F" w:rsidP="002F124F">
      <w:pPr>
        <w:spacing w:line="276" w:lineRule="auto"/>
        <w:ind w:left="720" w:hanging="720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Zheng, Y., 2014. </w:t>
      </w:r>
      <w:r w:rsidRPr="00B12AD7">
        <w:rPr>
          <w:rFonts w:ascii="DINCE-Regular" w:hAnsi="DINCE-Regular"/>
          <w:i/>
          <w:iCs/>
          <w:color w:val="404040" w:themeColor="text1" w:themeTint="BF"/>
          <w:sz w:val="22"/>
          <w:szCs w:val="22"/>
          <w:lang w:val="en-GB"/>
        </w:rPr>
        <w:t>Contemporary China: A History since 1978</w:t>
      </w: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.</w:t>
      </w:r>
      <w:r w:rsidRPr="00B12AD7">
        <w:rPr>
          <w:rFonts w:ascii="DINCE-Regular" w:hAnsi="DINCE-Regular"/>
          <w:color w:val="404040" w:themeColor="text1" w:themeTint="BF"/>
        </w:rPr>
        <w:t xml:space="preserve"> </w:t>
      </w: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Hoboken: John Wiley &amp; Sons </w:t>
      </w:r>
      <w:proofErr w:type="gramStart"/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Inc..</w:t>
      </w:r>
      <w:proofErr w:type="gramEnd"/>
    </w:p>
    <w:p w14:paraId="164B570E" w14:textId="77777777" w:rsidR="002F124F" w:rsidRPr="00B12AD7" w:rsidRDefault="002F124F" w:rsidP="002F124F">
      <w:pPr>
        <w:shd w:val="clear" w:color="auto" w:fill="FFFFFF"/>
        <w:spacing w:line="276" w:lineRule="auto"/>
        <w:ind w:left="720" w:hanging="720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Recommended Reading</w:t>
      </w:r>
    </w:p>
    <w:p w14:paraId="63576F21" w14:textId="77777777" w:rsidR="002F124F" w:rsidRPr="00B12AD7" w:rsidRDefault="002F124F" w:rsidP="002F124F">
      <w:pPr>
        <w:spacing w:line="276" w:lineRule="auto"/>
        <w:ind w:left="720" w:hanging="720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Mackerras, C.,</w:t>
      </w:r>
      <w:r w:rsidRPr="00B12AD7">
        <w:rPr>
          <w:rStyle w:val="Emphasis"/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 </w:t>
      </w: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1995. </w:t>
      </w:r>
      <w:r w:rsidRPr="00B12AD7">
        <w:rPr>
          <w:rStyle w:val="Emphasis"/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East and Southeast Asia: a multidisciplinary survey. </w:t>
      </w: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Boulder, Colo. Lynne </w:t>
      </w:r>
      <w:proofErr w:type="spellStart"/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Rienner</w:t>
      </w:r>
      <w:proofErr w:type="spellEnd"/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 Publishers.</w:t>
      </w:r>
    </w:p>
    <w:p w14:paraId="2C4F23ED" w14:textId="77777777" w:rsidR="002F124F" w:rsidRPr="00B12AD7" w:rsidRDefault="002F124F" w:rsidP="002F124F">
      <w:pPr>
        <w:spacing w:line="276" w:lineRule="auto"/>
        <w:ind w:left="720" w:hanging="720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Holcombe, C., 2017. </w:t>
      </w:r>
      <w:r w:rsidRPr="00B12AD7">
        <w:rPr>
          <w:rFonts w:ascii="DINCE-Regular" w:hAnsi="DINCE-Regular"/>
          <w:i/>
          <w:color w:val="404040" w:themeColor="text1" w:themeTint="BF"/>
          <w:sz w:val="22"/>
          <w:szCs w:val="22"/>
          <w:lang w:val="en-GB"/>
        </w:rPr>
        <w:t>A History of East Asia</w:t>
      </w: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. Cambridge: Cambridge University Press.</w:t>
      </w:r>
    </w:p>
    <w:p w14:paraId="7321F3E4" w14:textId="77777777" w:rsidR="002F124F" w:rsidRPr="00B12AD7" w:rsidRDefault="002F124F" w:rsidP="002F124F">
      <w:pPr>
        <w:spacing w:line="276" w:lineRule="auto"/>
        <w:ind w:left="720" w:hanging="720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 w:eastAsia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Lim, T.C., 2014. </w:t>
      </w:r>
      <w:r w:rsidRPr="00B12AD7">
        <w:rPr>
          <w:rFonts w:ascii="DINCE-Regular" w:hAnsi="DINCE-Regular"/>
          <w:i/>
          <w:color w:val="404040" w:themeColor="text1" w:themeTint="BF"/>
          <w:sz w:val="22"/>
          <w:szCs w:val="22"/>
          <w:lang w:val="en-GB"/>
        </w:rPr>
        <w:t>Politics in East Asia: Explaining Change and Continuity.</w:t>
      </w: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 Boulder, Colo. Lynne </w:t>
      </w:r>
      <w:proofErr w:type="spellStart"/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Rienner</w:t>
      </w:r>
      <w:proofErr w:type="spellEnd"/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 xml:space="preserve"> Publishers. </w:t>
      </w:r>
    </w:p>
    <w:p w14:paraId="789665E4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Required Equipment</w:t>
      </w:r>
    </w:p>
    <w:p w14:paraId="3CCFC39B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None</w:t>
      </w:r>
    </w:p>
    <w:p w14:paraId="098FDAD1" w14:textId="77777777" w:rsidR="002F124F" w:rsidRPr="00B12AD7" w:rsidRDefault="002F124F" w:rsidP="002F124F">
      <w:pPr>
        <w:pStyle w:val="Heading3"/>
        <w:spacing w:line="276" w:lineRule="auto"/>
        <w:jc w:val="both"/>
        <w:rPr>
          <w:rFonts w:ascii="DINCE-Regular" w:hAnsi="DINCE-Regular" w:cs="Times New Roman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 w:cs="Times New Roman"/>
          <w:color w:val="404040" w:themeColor="text1" w:themeTint="BF"/>
          <w:sz w:val="22"/>
          <w:szCs w:val="22"/>
          <w:lang w:val="en-GB"/>
        </w:rPr>
        <w:t>4. MODULE ORGANISATION</w:t>
      </w:r>
    </w:p>
    <w:p w14:paraId="6ECA3EAB" w14:textId="77777777" w:rsidR="002F124F" w:rsidRPr="00B12AD7" w:rsidRDefault="002F124F" w:rsidP="002F124F">
      <w:pPr>
        <w:shd w:val="clear" w:color="auto" w:fill="FFFFFF"/>
        <w:spacing w:line="276" w:lineRule="auto"/>
        <w:jc w:val="both"/>
        <w:outlineLvl w:val="4"/>
        <w:rPr>
          <w:rFonts w:ascii="DINCE-Regular" w:hAnsi="DINCE-Regular"/>
          <w:b/>
          <w:bCs/>
          <w:color w:val="404040" w:themeColor="text1" w:themeTint="BF"/>
          <w:sz w:val="22"/>
          <w:szCs w:val="22"/>
          <w:lang w:val="en-GB" w:eastAsia="en-GB"/>
        </w:rPr>
      </w:pPr>
      <w:r w:rsidRPr="00B12AD7">
        <w:rPr>
          <w:rFonts w:ascii="DINCE-Regular" w:hAnsi="DINCE-Regular"/>
          <w:b/>
          <w:bCs/>
          <w:color w:val="404040" w:themeColor="text1" w:themeTint="BF"/>
          <w:sz w:val="22"/>
          <w:szCs w:val="22"/>
          <w:lang w:val="en-GB" w:eastAsia="en-GB"/>
        </w:rPr>
        <w:t>Module leader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1756"/>
      </w:tblGrid>
      <w:tr w:rsidR="002F124F" w:rsidRPr="00B12AD7" w14:paraId="393B0C27" w14:textId="77777777" w:rsidTr="00FE71EB">
        <w:trPr>
          <w:trHeight w:val="432"/>
          <w:tblCellSpacing w:w="15" w:type="dxa"/>
        </w:trPr>
        <w:tc>
          <w:tcPr>
            <w:tcW w:w="0" w:type="auto"/>
            <w:tcMar>
              <w:top w:w="15" w:type="dxa"/>
              <w:left w:w="480" w:type="dxa"/>
              <w:bottom w:w="15" w:type="dxa"/>
              <w:right w:w="240" w:type="dxa"/>
            </w:tcMar>
            <w:vAlign w:val="center"/>
          </w:tcPr>
          <w:p w14:paraId="5FD30F8B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b/>
                <w:bCs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b/>
                <w:color w:val="404040" w:themeColor="text1" w:themeTint="BF"/>
                <w:sz w:val="22"/>
                <w:szCs w:val="22"/>
                <w:lang w:val="en-GB"/>
              </w:rPr>
              <w:t>Name</w:t>
            </w:r>
          </w:p>
        </w:tc>
        <w:tc>
          <w:tcPr>
            <w:tcW w:w="0" w:type="auto"/>
            <w:vAlign w:val="center"/>
          </w:tcPr>
          <w:p w14:paraId="3F083737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/>
              </w:rPr>
              <w:t>Dr Jarosław Jura</w:t>
            </w:r>
          </w:p>
        </w:tc>
      </w:tr>
      <w:tr w:rsidR="002F124F" w:rsidRPr="00B12AD7" w14:paraId="5096C7A8" w14:textId="77777777" w:rsidTr="00FE71EB">
        <w:trPr>
          <w:trHeight w:val="432"/>
          <w:tblCellSpacing w:w="15" w:type="dxa"/>
        </w:trPr>
        <w:tc>
          <w:tcPr>
            <w:tcW w:w="0" w:type="auto"/>
            <w:tcMar>
              <w:top w:w="15" w:type="dxa"/>
              <w:left w:w="480" w:type="dxa"/>
              <w:bottom w:w="15" w:type="dxa"/>
              <w:right w:w="240" w:type="dxa"/>
            </w:tcMar>
            <w:vAlign w:val="center"/>
          </w:tcPr>
          <w:p w14:paraId="294DFF79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b/>
                <w:bCs/>
                <w:color w:val="404040" w:themeColor="text1" w:themeTint="BF"/>
                <w:sz w:val="22"/>
                <w:szCs w:val="22"/>
                <w:lang w:val="en-GB" w:eastAsia="en-GB"/>
              </w:rPr>
            </w:pPr>
            <w:r w:rsidRPr="00B12AD7">
              <w:rPr>
                <w:rFonts w:ascii="DINCE-Regular" w:hAnsi="DINCE-Regular"/>
                <w:b/>
                <w:color w:val="404040" w:themeColor="text1" w:themeTint="BF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0" w:type="auto"/>
            <w:vAlign w:val="center"/>
          </w:tcPr>
          <w:p w14:paraId="304E8D7D" w14:textId="77777777" w:rsidR="002F124F" w:rsidRPr="00B12AD7" w:rsidRDefault="002F124F" w:rsidP="00FE71EB">
            <w:pPr>
              <w:spacing w:line="276" w:lineRule="auto"/>
              <w:jc w:val="both"/>
              <w:rPr>
                <w:rFonts w:ascii="DINCE-Regular" w:hAnsi="DINCE-Regular"/>
                <w:color w:val="404040" w:themeColor="text1" w:themeTint="BF"/>
                <w:sz w:val="22"/>
                <w:szCs w:val="22"/>
                <w:lang w:val="en-GB" w:eastAsia="en-GB"/>
              </w:rPr>
            </w:pPr>
            <w:hyperlink r:id="rId5" w:history="1">
              <w:r w:rsidRPr="00B12AD7">
                <w:rPr>
                  <w:rStyle w:val="Hyperlink"/>
                  <w:rFonts w:ascii="DINCE-Regular" w:hAnsi="DINCE-Regular"/>
                  <w:color w:val="404040" w:themeColor="text1" w:themeTint="BF"/>
                  <w:sz w:val="22"/>
                  <w:szCs w:val="22"/>
                  <w:lang w:val="en-GB"/>
                </w:rPr>
                <w:t>juraja@o2.pl</w:t>
              </w:r>
            </w:hyperlink>
          </w:p>
        </w:tc>
      </w:tr>
    </w:tbl>
    <w:p w14:paraId="43764A4D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  <w:t>Length and month of examination</w:t>
      </w:r>
    </w:p>
    <w:p w14:paraId="2C0D56BF" w14:textId="77777777" w:rsidR="002F124F" w:rsidRPr="00B12AD7" w:rsidRDefault="002F124F" w:rsidP="002F124F">
      <w:pPr>
        <w:shd w:val="clear" w:color="auto" w:fill="FFFFFF"/>
        <w:spacing w:line="276" w:lineRule="auto"/>
        <w:jc w:val="both"/>
        <w:rPr>
          <w:rFonts w:ascii="DINCE-Regular" w:hAnsi="DINCE-Regular"/>
          <w:b/>
          <w:color w:val="404040" w:themeColor="text1" w:themeTint="BF"/>
          <w:sz w:val="22"/>
          <w:szCs w:val="22"/>
          <w:lang w:val="en-GB"/>
        </w:rPr>
      </w:pPr>
      <w:r w:rsidRPr="00B12AD7">
        <w:rPr>
          <w:rFonts w:ascii="DINCE-Regular" w:hAnsi="DINCE-Regular"/>
          <w:color w:val="404040" w:themeColor="text1" w:themeTint="BF"/>
          <w:sz w:val="22"/>
          <w:szCs w:val="22"/>
          <w:lang w:val="en-GB"/>
        </w:rPr>
        <w:t>120 minutes in June</w:t>
      </w:r>
    </w:p>
    <w:p w14:paraId="2E7D150C" w14:textId="77777777" w:rsidR="00BC319D" w:rsidRDefault="00BC319D"/>
    <w:sectPr w:rsidR="00BC3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NCE-Regular">
    <w:panose1 w:val="020B0604020202020204"/>
    <w:charset w:val="00"/>
    <w:family w:val="auto"/>
    <w:pitch w:val="variable"/>
    <w:sig w:usb0="8000002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86E70"/>
    <w:multiLevelType w:val="hybridMultilevel"/>
    <w:tmpl w:val="135E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7F21"/>
    <w:multiLevelType w:val="hybridMultilevel"/>
    <w:tmpl w:val="E07C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F11F5"/>
    <w:multiLevelType w:val="hybridMultilevel"/>
    <w:tmpl w:val="C6DC9C86"/>
    <w:lvl w:ilvl="0" w:tplc="420E829C">
      <w:start w:val="1"/>
      <w:numFmt w:val="lowerLetter"/>
      <w:lvlText w:val="%1)"/>
      <w:lvlJc w:val="left"/>
      <w:pPr>
        <w:ind w:left="107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50644628"/>
    <w:multiLevelType w:val="hybridMultilevel"/>
    <w:tmpl w:val="74624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8596E"/>
    <w:multiLevelType w:val="hybridMultilevel"/>
    <w:tmpl w:val="9702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A7E9A"/>
    <w:multiLevelType w:val="multilevel"/>
    <w:tmpl w:val="F900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60813649">
    <w:abstractNumId w:val="5"/>
  </w:num>
  <w:num w:numId="2" w16cid:durableId="1992521866">
    <w:abstractNumId w:val="0"/>
  </w:num>
  <w:num w:numId="3" w16cid:durableId="23331826">
    <w:abstractNumId w:val="3"/>
  </w:num>
  <w:num w:numId="4" w16cid:durableId="1484082889">
    <w:abstractNumId w:val="4"/>
  </w:num>
  <w:num w:numId="5" w16cid:durableId="1284309191">
    <w:abstractNumId w:val="1"/>
  </w:num>
  <w:num w:numId="6" w16cid:durableId="1473717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4F"/>
    <w:rsid w:val="002F124F"/>
    <w:rsid w:val="002F545A"/>
    <w:rsid w:val="00605D61"/>
    <w:rsid w:val="00A0510C"/>
    <w:rsid w:val="00BC319D"/>
    <w:rsid w:val="00C6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C05DA4"/>
  <w15:chartTrackingRefBased/>
  <w15:docId w15:val="{87C8395E-6109-FA4E-A9BE-7E8EE3BD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24F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F1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2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2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2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2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F1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1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2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2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2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24F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F124F"/>
    <w:rPr>
      <w:i/>
      <w:iCs/>
    </w:rPr>
  </w:style>
  <w:style w:type="character" w:styleId="Hyperlink">
    <w:name w:val="Hyperlink"/>
    <w:basedOn w:val="DefaultParagraphFont"/>
    <w:uiPriority w:val="99"/>
    <w:rsid w:val="002F124F"/>
    <w:rPr>
      <w:color w:val="0000FF"/>
      <w:u w:val="single"/>
    </w:rPr>
  </w:style>
  <w:style w:type="paragraph" w:customStyle="1" w:styleId="Akapitzlist2">
    <w:name w:val="Akapit z listą2"/>
    <w:basedOn w:val="Normal"/>
    <w:qFormat/>
    <w:rsid w:val="002F124F"/>
    <w:pPr>
      <w:spacing w:after="200" w:line="276" w:lineRule="auto"/>
      <w:ind w:left="720"/>
    </w:pPr>
    <w:rPr>
      <w:rFonts w:ascii="Calibri" w:hAnsi="Calibri" w:cs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raj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Valeryia Yersh</dc:creator>
  <cp:keywords/>
  <dc:description/>
  <cp:lastModifiedBy>Valeryia Yersh</cp:lastModifiedBy>
  <cp:revision>1</cp:revision>
  <dcterms:created xsi:type="dcterms:W3CDTF">2025-08-22T14:06:00Z</dcterms:created>
  <dcterms:modified xsi:type="dcterms:W3CDTF">2025-08-22T14:07:00Z</dcterms:modified>
</cp:coreProperties>
</file>