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3DE13" w14:textId="77777777" w:rsidR="00294D8F" w:rsidRPr="00B12AD7" w:rsidRDefault="00294D8F" w:rsidP="00294D8F">
      <w:pPr>
        <w:pStyle w:val="Heading2"/>
        <w:spacing w:line="276" w:lineRule="auto"/>
        <w:jc w:val="both"/>
        <w:rPr>
          <w:rFonts w:ascii="DINCE-Regular" w:hAnsi="DINCE-Regular"/>
          <w:color w:val="404040" w:themeColor="text1" w:themeTint="BF"/>
          <w:kern w:val="36"/>
          <w:lang w:val="en-GB"/>
        </w:rPr>
      </w:pPr>
      <w:bookmarkStart w:id="0" w:name="_Toc453841467"/>
      <w:bookmarkStart w:id="1" w:name="_Toc466634994"/>
      <w:bookmarkStart w:id="2" w:name="_Toc477731752"/>
      <w:bookmarkStart w:id="3" w:name="_Toc487111789"/>
      <w:bookmarkStart w:id="4" w:name="_Toc526324547"/>
      <w:bookmarkStart w:id="5" w:name="_Toc179189728"/>
      <w:r w:rsidRPr="00B12AD7">
        <w:rPr>
          <w:rFonts w:ascii="DINCE-Regular" w:hAnsi="DINCE-Regular"/>
          <w:color w:val="404040" w:themeColor="text1" w:themeTint="BF"/>
          <w:kern w:val="36"/>
          <w:lang w:val="en-GB"/>
        </w:rPr>
        <w:t>AMERICAN RIGHTS AND FREEDOMS</w:t>
      </w:r>
      <w:bookmarkEnd w:id="0"/>
      <w:bookmarkEnd w:id="1"/>
      <w:bookmarkEnd w:id="2"/>
      <w:bookmarkEnd w:id="3"/>
      <w:bookmarkEnd w:id="4"/>
      <w:bookmarkEnd w:id="5"/>
    </w:p>
    <w:p w14:paraId="5F9B2DCE" w14:textId="77777777" w:rsidR="00294D8F" w:rsidRPr="00B12AD7" w:rsidRDefault="00294D8F" w:rsidP="00294D8F">
      <w:pPr>
        <w:spacing w:line="276" w:lineRule="auto"/>
        <w:jc w:val="both"/>
        <w:rPr>
          <w:rFonts w:ascii="DINCE-Regular" w:hAnsi="DINCE-Regular"/>
          <w:color w:val="404040" w:themeColor="text1" w:themeTint="BF"/>
          <w:lang w:val="en-GB" w:eastAsia="en-GB"/>
        </w:rPr>
      </w:pPr>
    </w:p>
    <w:p w14:paraId="5F392CCC" w14:textId="77777777" w:rsidR="00294D8F" w:rsidRPr="00B12AD7" w:rsidRDefault="00294D8F" w:rsidP="00294D8F">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1. MODULE SUMMARY</w:t>
      </w:r>
    </w:p>
    <w:p w14:paraId="2F787CB4" w14:textId="77777777" w:rsidR="00294D8F" w:rsidRPr="00B12AD7" w:rsidRDefault="00294D8F" w:rsidP="00294D8F">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Aims and Summary</w:t>
      </w:r>
    </w:p>
    <w:p w14:paraId="3C54E320" w14:textId="77777777" w:rsidR="00294D8F" w:rsidRPr="00B12AD7" w:rsidRDefault="00294D8F" w:rsidP="00294D8F">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The main objective of the module is to introduce students into the American system of civil rights and liberties. The analysis revolves around the constitutional system of rights and liberties as contained in the Bill of Rights and its historical evolution as applied by the Supreme Court interpretation, in relation to changes in the American political culture and legal system. The major contemporary decisions of the Supreme Court are going to be </w:t>
      </w:r>
      <w:proofErr w:type="spellStart"/>
      <w:r w:rsidRPr="00B12AD7">
        <w:rPr>
          <w:rFonts w:ascii="DINCE-Regular" w:hAnsi="DINCE-Regular"/>
          <w:color w:val="404040" w:themeColor="text1" w:themeTint="BF"/>
          <w:sz w:val="22"/>
          <w:szCs w:val="22"/>
          <w:lang w:val="en-GB"/>
        </w:rPr>
        <w:t>analyzed</w:t>
      </w:r>
      <w:proofErr w:type="spellEnd"/>
      <w:r w:rsidRPr="00B12AD7">
        <w:rPr>
          <w:rFonts w:ascii="DINCE-Regular" w:hAnsi="DINCE-Regular"/>
          <w:color w:val="404040" w:themeColor="text1" w:themeTint="BF"/>
          <w:sz w:val="22"/>
          <w:szCs w:val="22"/>
          <w:lang w:val="en-GB"/>
        </w:rPr>
        <w:t xml:space="preserve"> and their diverse social, political as well as cultural consequences. At last, the American civil rights and liberties system will be looked upon in a context of the international system of human rights and a tension between the two systems in particular areas will be given due attention. </w:t>
      </w:r>
    </w:p>
    <w:p w14:paraId="1F9A2562" w14:textId="77777777" w:rsidR="00294D8F" w:rsidRPr="00B12AD7" w:rsidRDefault="00294D8F" w:rsidP="00294D8F">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Module Size and credits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02"/>
        <w:gridCol w:w="5724"/>
      </w:tblGrid>
      <w:tr w:rsidR="00294D8F" w:rsidRPr="00B12AD7" w14:paraId="4D78D252" w14:textId="77777777" w:rsidTr="00FE71EB">
        <w:trPr>
          <w:trHeight w:val="432"/>
          <w:tblCellSpacing w:w="15" w:type="dxa"/>
        </w:trPr>
        <w:tc>
          <w:tcPr>
            <w:tcW w:w="0" w:type="auto"/>
            <w:tcMar>
              <w:top w:w="15" w:type="dxa"/>
              <w:left w:w="480" w:type="dxa"/>
              <w:bottom w:w="15" w:type="dxa"/>
              <w:right w:w="240" w:type="dxa"/>
            </w:tcMar>
            <w:vAlign w:val="center"/>
          </w:tcPr>
          <w:p w14:paraId="75BD89C2" w14:textId="77777777" w:rsidR="00294D8F" w:rsidRPr="00B12AD7" w:rsidRDefault="00294D8F"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ECTS credits</w:t>
            </w:r>
          </w:p>
        </w:tc>
        <w:tc>
          <w:tcPr>
            <w:tcW w:w="0" w:type="auto"/>
            <w:vAlign w:val="center"/>
          </w:tcPr>
          <w:p w14:paraId="035ACD0B" w14:textId="77777777" w:rsidR="00294D8F" w:rsidRPr="00B12AD7" w:rsidRDefault="00294D8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5.0</w:t>
            </w:r>
          </w:p>
        </w:tc>
      </w:tr>
      <w:tr w:rsidR="00294D8F" w:rsidRPr="00B12AD7" w14:paraId="5D1A3F8E" w14:textId="77777777" w:rsidTr="00FE71EB">
        <w:trPr>
          <w:trHeight w:val="432"/>
          <w:tblCellSpacing w:w="15" w:type="dxa"/>
        </w:trPr>
        <w:tc>
          <w:tcPr>
            <w:tcW w:w="0" w:type="auto"/>
            <w:tcMar>
              <w:top w:w="15" w:type="dxa"/>
              <w:left w:w="480" w:type="dxa"/>
              <w:bottom w:w="15" w:type="dxa"/>
              <w:right w:w="240" w:type="dxa"/>
            </w:tcMar>
            <w:vAlign w:val="center"/>
          </w:tcPr>
          <w:p w14:paraId="2F297DE4" w14:textId="77777777" w:rsidR="00294D8F" w:rsidRPr="00B12AD7" w:rsidRDefault="00294D8F"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Total student study hours</w:t>
            </w:r>
          </w:p>
        </w:tc>
        <w:tc>
          <w:tcPr>
            <w:tcW w:w="0" w:type="auto"/>
            <w:vAlign w:val="center"/>
          </w:tcPr>
          <w:p w14:paraId="65CF4F18" w14:textId="77777777" w:rsidR="00294D8F" w:rsidRPr="00B12AD7" w:rsidRDefault="00294D8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100</w:t>
            </w:r>
          </w:p>
        </w:tc>
      </w:tr>
      <w:tr w:rsidR="00294D8F" w:rsidRPr="00B12AD7" w14:paraId="365565C1" w14:textId="77777777" w:rsidTr="00FE71EB">
        <w:trPr>
          <w:trHeight w:val="432"/>
          <w:tblCellSpacing w:w="15" w:type="dxa"/>
        </w:trPr>
        <w:tc>
          <w:tcPr>
            <w:tcW w:w="0" w:type="auto"/>
            <w:tcMar>
              <w:top w:w="15" w:type="dxa"/>
              <w:left w:w="480" w:type="dxa"/>
              <w:bottom w:w="15" w:type="dxa"/>
              <w:right w:w="240" w:type="dxa"/>
            </w:tcMar>
            <w:vAlign w:val="center"/>
          </w:tcPr>
          <w:p w14:paraId="530523BF" w14:textId="77777777" w:rsidR="00294D8F" w:rsidRPr="00B12AD7" w:rsidRDefault="00294D8F"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Number of weeks</w:t>
            </w:r>
          </w:p>
        </w:tc>
        <w:tc>
          <w:tcPr>
            <w:tcW w:w="0" w:type="auto"/>
            <w:vAlign w:val="center"/>
          </w:tcPr>
          <w:p w14:paraId="07392537" w14:textId="77777777" w:rsidR="00294D8F" w:rsidRPr="00B12AD7" w:rsidRDefault="00294D8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12</w:t>
            </w:r>
          </w:p>
        </w:tc>
      </w:tr>
      <w:tr w:rsidR="00294D8F" w:rsidRPr="00B12AD7" w14:paraId="4E5058CE" w14:textId="77777777" w:rsidTr="00FE71EB">
        <w:trPr>
          <w:trHeight w:val="432"/>
          <w:tblCellSpacing w:w="15" w:type="dxa"/>
        </w:trPr>
        <w:tc>
          <w:tcPr>
            <w:tcW w:w="0" w:type="auto"/>
            <w:tcMar>
              <w:top w:w="15" w:type="dxa"/>
              <w:left w:w="480" w:type="dxa"/>
              <w:bottom w:w="15" w:type="dxa"/>
              <w:right w:w="240" w:type="dxa"/>
            </w:tcMar>
            <w:vAlign w:val="center"/>
          </w:tcPr>
          <w:p w14:paraId="052D6E7D" w14:textId="77777777" w:rsidR="00294D8F" w:rsidRPr="00B12AD7" w:rsidRDefault="00294D8F"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School responsible</w:t>
            </w:r>
          </w:p>
        </w:tc>
        <w:tc>
          <w:tcPr>
            <w:tcW w:w="0" w:type="auto"/>
            <w:vAlign w:val="center"/>
          </w:tcPr>
          <w:p w14:paraId="3AF46EED" w14:textId="77777777" w:rsidR="00294D8F" w:rsidRPr="00B12AD7" w:rsidRDefault="00294D8F" w:rsidP="00FE71EB">
            <w:pPr>
              <w:spacing w:line="276" w:lineRule="auto"/>
              <w:jc w:val="both"/>
              <w:rPr>
                <w:rFonts w:ascii="DINCE-Regular" w:hAnsi="DINCE-Regular"/>
                <w:color w:val="404040" w:themeColor="text1" w:themeTint="BF"/>
                <w:sz w:val="22"/>
                <w:szCs w:val="22"/>
                <w:lang w:val="en-GB" w:eastAsia="en-GB"/>
              </w:rPr>
            </w:pPr>
            <w:proofErr w:type="spellStart"/>
            <w:r w:rsidRPr="00B12AD7">
              <w:rPr>
                <w:rFonts w:ascii="DINCE-Regular" w:hAnsi="DINCE-Regular"/>
                <w:color w:val="404040" w:themeColor="text1" w:themeTint="BF"/>
                <w:sz w:val="22"/>
                <w:szCs w:val="22"/>
                <w:lang w:val="en-GB"/>
              </w:rPr>
              <w:t>Łazarski</w:t>
            </w:r>
            <w:proofErr w:type="spellEnd"/>
            <w:r w:rsidRPr="00B12AD7">
              <w:rPr>
                <w:rFonts w:ascii="DINCE-Regular" w:hAnsi="DINCE-Regular"/>
                <w:color w:val="404040" w:themeColor="text1" w:themeTint="BF"/>
                <w:sz w:val="22"/>
                <w:szCs w:val="22"/>
                <w:lang w:val="en-GB"/>
              </w:rPr>
              <w:t xml:space="preserve"> University, Faculty of Economics and Management</w:t>
            </w:r>
          </w:p>
        </w:tc>
      </w:tr>
    </w:tbl>
    <w:p w14:paraId="068514B3" w14:textId="77777777" w:rsidR="00294D8F" w:rsidRPr="00B12AD7" w:rsidRDefault="00294D8F" w:rsidP="00294D8F">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Entry Requirements (pre-requisites and co-requisites)</w:t>
      </w:r>
    </w:p>
    <w:p w14:paraId="3A77C6FB" w14:textId="77777777" w:rsidR="00294D8F" w:rsidRPr="00B12AD7" w:rsidRDefault="00294D8F" w:rsidP="00294D8F">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N/A</w:t>
      </w:r>
    </w:p>
    <w:p w14:paraId="20196E9E" w14:textId="77777777" w:rsidR="00294D8F" w:rsidRPr="00B12AD7" w:rsidRDefault="00294D8F" w:rsidP="00294D8F">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Excluded Combinations</w:t>
      </w:r>
    </w:p>
    <w:p w14:paraId="0AB5584D" w14:textId="77777777" w:rsidR="00294D8F" w:rsidRPr="00B12AD7" w:rsidRDefault="00294D8F" w:rsidP="00294D8F">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None</w:t>
      </w:r>
    </w:p>
    <w:p w14:paraId="6A093E96" w14:textId="77777777" w:rsidR="00294D8F" w:rsidRPr="00B12AD7" w:rsidRDefault="00294D8F" w:rsidP="00294D8F">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Composition of module mark (including weighting of components)</w:t>
      </w:r>
    </w:p>
    <w:p w14:paraId="7FB2FEAB" w14:textId="77777777" w:rsidR="00294D8F" w:rsidRPr="00B12AD7" w:rsidRDefault="00294D8F" w:rsidP="00294D8F">
      <w:pPr>
        <w:shd w:val="clear" w:color="auto" w:fill="FFFFFF"/>
        <w:spacing w:line="276" w:lineRule="auto"/>
        <w:jc w:val="both"/>
        <w:outlineLvl w:val="4"/>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Coursework 60%, composed of research paper</w:t>
      </w:r>
    </w:p>
    <w:p w14:paraId="10E0E1D5" w14:textId="77777777" w:rsidR="00294D8F" w:rsidRPr="00B12AD7" w:rsidRDefault="00294D8F" w:rsidP="00294D8F">
      <w:pPr>
        <w:shd w:val="clear" w:color="auto" w:fill="FFFFFF"/>
        <w:spacing w:line="276" w:lineRule="auto"/>
        <w:jc w:val="both"/>
        <w:outlineLvl w:val="4"/>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Final exam 40%</w:t>
      </w:r>
    </w:p>
    <w:p w14:paraId="1E4457A9" w14:textId="77777777" w:rsidR="00294D8F" w:rsidRPr="00B12AD7" w:rsidRDefault="00294D8F" w:rsidP="00294D8F">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Pass requirements</w:t>
      </w:r>
    </w:p>
    <w:p w14:paraId="3EE3B979" w14:textId="77777777" w:rsidR="00294D8F" w:rsidRPr="00B12AD7" w:rsidRDefault="00294D8F" w:rsidP="00294D8F">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To pass the course a student must score at least 40% of the overall weighted average and not less than 35% for each assessment component (i.e. final exam and coursework). Re-assessment: coursework component(s) and/or examination as appropriate. </w:t>
      </w:r>
    </w:p>
    <w:p w14:paraId="414F30F2" w14:textId="77777777" w:rsidR="00294D8F" w:rsidRPr="00B12AD7" w:rsidRDefault="00294D8F" w:rsidP="00294D8F">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Special Features</w:t>
      </w:r>
    </w:p>
    <w:p w14:paraId="16159387" w14:textId="77777777" w:rsidR="00294D8F" w:rsidRPr="00B12AD7" w:rsidRDefault="00294D8F" w:rsidP="00294D8F">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None</w:t>
      </w:r>
    </w:p>
    <w:p w14:paraId="54C94CD3" w14:textId="77777777" w:rsidR="00294D8F" w:rsidRPr="00B12AD7" w:rsidRDefault="00294D8F" w:rsidP="00294D8F">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Course stages for which this module is mandatory</w:t>
      </w:r>
    </w:p>
    <w:p w14:paraId="49952FFD" w14:textId="77777777" w:rsidR="00294D8F" w:rsidRPr="00B12AD7" w:rsidRDefault="00294D8F" w:rsidP="00294D8F">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BA Year 3 International Relations (level 6)</w:t>
      </w:r>
    </w:p>
    <w:p w14:paraId="7B5EE7FB" w14:textId="77777777" w:rsidR="00294D8F" w:rsidRPr="00B12AD7" w:rsidRDefault="00294D8F" w:rsidP="00294D8F">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Course stages for which this module is a core option</w:t>
      </w:r>
    </w:p>
    <w:p w14:paraId="02F677AE" w14:textId="77777777" w:rsidR="00294D8F" w:rsidRPr="00B12AD7" w:rsidRDefault="00294D8F" w:rsidP="00294D8F">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None</w:t>
      </w:r>
    </w:p>
    <w:p w14:paraId="445A0C7A" w14:textId="77777777" w:rsidR="00294D8F" w:rsidRPr="00B12AD7" w:rsidRDefault="00294D8F" w:rsidP="00294D8F">
      <w:pPr>
        <w:spacing w:line="276" w:lineRule="auto"/>
        <w:jc w:val="both"/>
        <w:rPr>
          <w:rFonts w:ascii="DINCE-Regular" w:hAnsi="DINCE-Regular"/>
          <w:b/>
          <w:color w:val="404040" w:themeColor="text1" w:themeTint="BF"/>
          <w:sz w:val="22"/>
          <w:szCs w:val="22"/>
          <w:lang w:val="en-GB"/>
        </w:rPr>
      </w:pPr>
    </w:p>
    <w:p w14:paraId="4D9D7BFD" w14:textId="77777777" w:rsidR="00294D8F" w:rsidRPr="00B12AD7" w:rsidRDefault="00294D8F" w:rsidP="00294D8F">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2. TEACHING, LEARNING AND ASSESSMENT</w:t>
      </w:r>
    </w:p>
    <w:p w14:paraId="2DAA7752" w14:textId="77777777" w:rsidR="00294D8F" w:rsidRPr="00B12AD7" w:rsidRDefault="00294D8F" w:rsidP="00294D8F">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Intended Module Learning Outcomes</w:t>
      </w:r>
    </w:p>
    <w:p w14:paraId="7FB05988" w14:textId="77777777" w:rsidR="00294D8F" w:rsidRPr="00B12AD7" w:rsidRDefault="00294D8F" w:rsidP="00294D8F">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lastRenderedPageBreak/>
        <w:t>By the end of the course students should be able to:</w:t>
      </w:r>
    </w:p>
    <w:p w14:paraId="2B67A0F5" w14:textId="77777777" w:rsidR="00294D8F" w:rsidRPr="00B12AD7" w:rsidRDefault="00294D8F" w:rsidP="00294D8F">
      <w:pPr>
        <w:pStyle w:val="BodyTextIndent"/>
        <w:numPr>
          <w:ilvl w:val="0"/>
          <w:numId w:val="1"/>
        </w:numPr>
        <w:tabs>
          <w:tab w:val="clear" w:pos="720"/>
          <w:tab w:val="left" w:pos="708"/>
        </w:tabs>
        <w:suppressAutoHyphens/>
        <w:spacing w:after="0"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Demonstrate an understanding of the modern, complex, and controversial field of civil rights and liberties in the universal context</w:t>
      </w:r>
    </w:p>
    <w:p w14:paraId="419695B8" w14:textId="77777777" w:rsidR="00294D8F" w:rsidRPr="00B12AD7" w:rsidRDefault="00294D8F" w:rsidP="00294D8F">
      <w:pPr>
        <w:pStyle w:val="BodyTextIndent"/>
        <w:numPr>
          <w:ilvl w:val="0"/>
          <w:numId w:val="1"/>
        </w:numPr>
        <w:tabs>
          <w:tab w:val="clear" w:pos="720"/>
          <w:tab w:val="left" w:pos="708"/>
        </w:tabs>
        <w:suppressAutoHyphens/>
        <w:spacing w:after="0" w:line="276" w:lineRule="auto"/>
        <w:jc w:val="both"/>
        <w:rPr>
          <w:rFonts w:ascii="DINCE-Regular" w:hAnsi="DINCE-Regular"/>
          <w:color w:val="404040" w:themeColor="text1" w:themeTint="BF"/>
          <w:sz w:val="22"/>
          <w:szCs w:val="22"/>
          <w:lang w:val="en-GB"/>
        </w:rPr>
      </w:pPr>
      <w:proofErr w:type="spellStart"/>
      <w:r w:rsidRPr="00B12AD7">
        <w:rPr>
          <w:rFonts w:ascii="DINCE-Regular" w:hAnsi="DINCE-Regular"/>
          <w:color w:val="404040" w:themeColor="text1" w:themeTint="BF"/>
          <w:sz w:val="22"/>
          <w:szCs w:val="22"/>
          <w:lang w:val="en-GB"/>
        </w:rPr>
        <w:t>Analyze</w:t>
      </w:r>
      <w:proofErr w:type="spellEnd"/>
      <w:r w:rsidRPr="00B12AD7">
        <w:rPr>
          <w:rFonts w:ascii="DINCE-Regular" w:hAnsi="DINCE-Regular"/>
          <w:color w:val="404040" w:themeColor="text1" w:themeTint="BF"/>
          <w:sz w:val="22"/>
          <w:szCs w:val="22"/>
          <w:lang w:val="en-GB"/>
        </w:rPr>
        <w:t xml:space="preserve"> versatile subjects taken from history, society, politics, legal system</w:t>
      </w:r>
    </w:p>
    <w:p w14:paraId="48FA8EF5" w14:textId="77777777" w:rsidR="00294D8F" w:rsidRPr="00B12AD7" w:rsidRDefault="00294D8F" w:rsidP="00294D8F">
      <w:pPr>
        <w:pStyle w:val="BodyTextIndent"/>
        <w:numPr>
          <w:ilvl w:val="0"/>
          <w:numId w:val="1"/>
        </w:numPr>
        <w:tabs>
          <w:tab w:val="clear" w:pos="720"/>
          <w:tab w:val="left" w:pos="708"/>
        </w:tabs>
        <w:suppressAutoHyphens/>
        <w:spacing w:after="0"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Identify and assess critically ideas which drive American society as a fundamentally rights conscious </w:t>
      </w:r>
      <w:proofErr w:type="gramStart"/>
      <w:r w:rsidRPr="00B12AD7">
        <w:rPr>
          <w:rFonts w:ascii="DINCE-Regular" w:hAnsi="DINCE-Regular"/>
          <w:color w:val="404040" w:themeColor="text1" w:themeTint="BF"/>
          <w:sz w:val="22"/>
          <w:szCs w:val="22"/>
          <w:lang w:val="en-GB"/>
        </w:rPr>
        <w:t>society;</w:t>
      </w:r>
      <w:proofErr w:type="gramEnd"/>
    </w:p>
    <w:p w14:paraId="4F4B220C" w14:textId="77777777" w:rsidR="00294D8F" w:rsidRPr="00B12AD7" w:rsidRDefault="00294D8F" w:rsidP="00294D8F">
      <w:pPr>
        <w:pStyle w:val="BodyTextIndent"/>
        <w:numPr>
          <w:ilvl w:val="0"/>
          <w:numId w:val="1"/>
        </w:numPr>
        <w:tabs>
          <w:tab w:val="clear" w:pos="720"/>
          <w:tab w:val="left" w:pos="708"/>
        </w:tabs>
        <w:suppressAutoHyphens/>
        <w:spacing w:after="0"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Explain the connection between the US understanding of rights and the international rights culture.</w:t>
      </w:r>
    </w:p>
    <w:p w14:paraId="1066066C" w14:textId="77777777" w:rsidR="00294D8F" w:rsidRPr="00B12AD7" w:rsidRDefault="00294D8F" w:rsidP="00294D8F">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Indicative Content</w:t>
      </w:r>
    </w:p>
    <w:p w14:paraId="35110B77" w14:textId="77777777" w:rsidR="00294D8F" w:rsidRPr="00B12AD7" w:rsidRDefault="00294D8F" w:rsidP="00294D8F">
      <w:pPr>
        <w:pStyle w:val="BodyTextIndent"/>
        <w:numPr>
          <w:ilvl w:val="0"/>
          <w:numId w:val="2"/>
        </w:numPr>
        <w:suppressAutoHyphens/>
        <w:spacing w:after="0"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The Anglo-Saxon tradition of rights and its American reception, the Declaration of Independence 1776, the Virginia Bill of Rights, the Constitution and the federal Bill of Rights, the XIV Amendment and the incorporation of the Bill of Rights into the state system.</w:t>
      </w:r>
    </w:p>
    <w:p w14:paraId="69F1B0D7" w14:textId="77777777" w:rsidR="00294D8F" w:rsidRPr="00B12AD7" w:rsidRDefault="00294D8F" w:rsidP="00294D8F">
      <w:pPr>
        <w:pStyle w:val="BodyTextIndent"/>
        <w:numPr>
          <w:ilvl w:val="0"/>
          <w:numId w:val="2"/>
        </w:numPr>
        <w:suppressAutoHyphens/>
        <w:spacing w:after="0"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The Supreme Court’s emergence as the main interpreter of individual rights, the ‘living </w:t>
      </w:r>
      <w:proofErr w:type="gramStart"/>
      <w:r w:rsidRPr="00B12AD7">
        <w:rPr>
          <w:rFonts w:ascii="DINCE-Regular" w:hAnsi="DINCE-Regular"/>
          <w:color w:val="404040" w:themeColor="text1" w:themeTint="BF"/>
          <w:sz w:val="22"/>
          <w:szCs w:val="22"/>
          <w:lang w:val="en-GB"/>
        </w:rPr>
        <w:t>Constitution‘ doctrine</w:t>
      </w:r>
      <w:proofErr w:type="gramEnd"/>
      <w:r w:rsidRPr="00B12AD7">
        <w:rPr>
          <w:rFonts w:ascii="DINCE-Regular" w:hAnsi="DINCE-Regular"/>
          <w:color w:val="404040" w:themeColor="text1" w:themeTint="BF"/>
          <w:sz w:val="22"/>
          <w:szCs w:val="22"/>
          <w:lang w:val="en-GB"/>
        </w:rPr>
        <w:t>, the unwritten fundamental rights in the Constitution and the Culture Wars over interpretation of rights.</w:t>
      </w:r>
    </w:p>
    <w:p w14:paraId="781A156C" w14:textId="77777777" w:rsidR="00294D8F" w:rsidRPr="00B12AD7" w:rsidRDefault="00294D8F" w:rsidP="00294D8F">
      <w:pPr>
        <w:pStyle w:val="BodyTextIndent"/>
        <w:numPr>
          <w:ilvl w:val="0"/>
          <w:numId w:val="2"/>
        </w:numPr>
        <w:suppressAutoHyphens/>
        <w:spacing w:after="0"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The 1st Amendment: freedom of religion and the establishment clauses.</w:t>
      </w:r>
    </w:p>
    <w:p w14:paraId="1BB4D0F7" w14:textId="77777777" w:rsidR="00294D8F" w:rsidRPr="00B12AD7" w:rsidRDefault="00294D8F" w:rsidP="00294D8F">
      <w:pPr>
        <w:pStyle w:val="BodyTextIndent"/>
        <w:numPr>
          <w:ilvl w:val="0"/>
          <w:numId w:val="2"/>
        </w:numPr>
        <w:suppressAutoHyphens/>
        <w:spacing w:after="0"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The 1st Amendment: freedom of speech, assembly and petition of government; the II Amendment: the right to bear arms.</w:t>
      </w:r>
    </w:p>
    <w:p w14:paraId="02C14975" w14:textId="77777777" w:rsidR="00294D8F" w:rsidRPr="00B12AD7" w:rsidRDefault="00294D8F" w:rsidP="00294D8F">
      <w:pPr>
        <w:pStyle w:val="BodyTextIndent"/>
        <w:numPr>
          <w:ilvl w:val="0"/>
          <w:numId w:val="2"/>
        </w:numPr>
        <w:suppressAutoHyphens/>
        <w:spacing w:after="0"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The importance of the XIV Amendment in American constitutional system of rights.</w:t>
      </w:r>
    </w:p>
    <w:p w14:paraId="4C2BCA0C" w14:textId="77777777" w:rsidR="00294D8F" w:rsidRPr="00B12AD7" w:rsidRDefault="00294D8F" w:rsidP="00294D8F">
      <w:pPr>
        <w:pStyle w:val="BodyTextIndent"/>
        <w:numPr>
          <w:ilvl w:val="0"/>
          <w:numId w:val="2"/>
        </w:numPr>
        <w:suppressAutoHyphens/>
        <w:spacing w:after="0"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Procedural Due Process and Substantive Due Process; modern Contract Clause Doctrine; the Taking Clause.</w:t>
      </w:r>
    </w:p>
    <w:p w14:paraId="46F2FF36" w14:textId="77777777" w:rsidR="00294D8F" w:rsidRPr="00B12AD7" w:rsidRDefault="00294D8F" w:rsidP="00294D8F">
      <w:pPr>
        <w:pStyle w:val="BodyTextIndent"/>
        <w:numPr>
          <w:ilvl w:val="0"/>
          <w:numId w:val="2"/>
        </w:numPr>
        <w:suppressAutoHyphens/>
        <w:spacing w:after="0"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Procedural rights in criminal and civil cases; rights of the accused; death penalty and its international </w:t>
      </w:r>
      <w:proofErr w:type="gramStart"/>
      <w:r w:rsidRPr="00B12AD7">
        <w:rPr>
          <w:rFonts w:ascii="DINCE-Regular" w:hAnsi="DINCE-Regular"/>
          <w:color w:val="404040" w:themeColor="text1" w:themeTint="BF"/>
          <w:sz w:val="22"/>
          <w:szCs w:val="22"/>
          <w:lang w:val="en-GB"/>
        </w:rPr>
        <w:t>implications;</w:t>
      </w:r>
      <w:proofErr w:type="gramEnd"/>
      <w:r w:rsidRPr="00B12AD7">
        <w:rPr>
          <w:rFonts w:ascii="DINCE-Regular" w:hAnsi="DINCE-Regular"/>
          <w:color w:val="404040" w:themeColor="text1" w:themeTint="BF"/>
          <w:sz w:val="22"/>
          <w:szCs w:val="22"/>
          <w:lang w:val="en-GB"/>
        </w:rPr>
        <w:t xml:space="preserve"> </w:t>
      </w:r>
    </w:p>
    <w:p w14:paraId="733584B8" w14:textId="77777777" w:rsidR="00294D8F" w:rsidRPr="00B12AD7" w:rsidRDefault="00294D8F" w:rsidP="00294D8F">
      <w:pPr>
        <w:pStyle w:val="BodyTextIndent"/>
        <w:numPr>
          <w:ilvl w:val="0"/>
          <w:numId w:val="2"/>
        </w:numPr>
        <w:suppressAutoHyphens/>
        <w:spacing w:after="0"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Privacy rights and reproductive rights: the abortion controversy, ‘homosexual marriage’ controversy etc.</w:t>
      </w:r>
    </w:p>
    <w:p w14:paraId="67317955" w14:textId="77777777" w:rsidR="00294D8F" w:rsidRPr="00B12AD7" w:rsidRDefault="00294D8F" w:rsidP="00294D8F">
      <w:pPr>
        <w:pStyle w:val="BodyTextIndent"/>
        <w:numPr>
          <w:ilvl w:val="0"/>
          <w:numId w:val="2"/>
        </w:numPr>
        <w:suppressAutoHyphens/>
        <w:spacing w:after="0"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Slavery and its political and cultural history; the Civil Rights Revolution and its consequences.</w:t>
      </w:r>
    </w:p>
    <w:p w14:paraId="7008A0B2" w14:textId="77777777" w:rsidR="00294D8F" w:rsidRPr="00B12AD7" w:rsidRDefault="00294D8F" w:rsidP="00294D8F">
      <w:pPr>
        <w:pStyle w:val="BodyTextIndent"/>
        <w:numPr>
          <w:ilvl w:val="0"/>
          <w:numId w:val="2"/>
        </w:numPr>
        <w:suppressAutoHyphens/>
        <w:spacing w:after="0"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Women and equal rights: three phases of the feminist movement; affirmative action controversies; other selected issues and rights: e.g. immigration.</w:t>
      </w:r>
    </w:p>
    <w:p w14:paraId="1609BF4F" w14:textId="77777777" w:rsidR="00294D8F" w:rsidRPr="00B12AD7" w:rsidRDefault="00294D8F" w:rsidP="00294D8F">
      <w:pPr>
        <w:pStyle w:val="BodyTextIndent"/>
        <w:numPr>
          <w:ilvl w:val="0"/>
          <w:numId w:val="2"/>
        </w:numPr>
        <w:suppressAutoHyphens/>
        <w:spacing w:after="0"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Transnational justice and the American understanding of rights.</w:t>
      </w:r>
    </w:p>
    <w:p w14:paraId="0EFCE9BB" w14:textId="77777777" w:rsidR="00294D8F" w:rsidRPr="00B12AD7" w:rsidRDefault="00294D8F" w:rsidP="00294D8F">
      <w:pPr>
        <w:pStyle w:val="BodyTextIndent"/>
        <w:numPr>
          <w:ilvl w:val="0"/>
          <w:numId w:val="2"/>
        </w:numPr>
        <w:suppressAutoHyphens/>
        <w:spacing w:after="0"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The United States and the human rights culture as an issue of culture war’s controversies </w:t>
      </w:r>
    </w:p>
    <w:p w14:paraId="179F6EF9" w14:textId="77777777" w:rsidR="00294D8F" w:rsidRPr="00B12AD7" w:rsidRDefault="00294D8F" w:rsidP="00294D8F">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Teaching and Learning</w:t>
      </w:r>
    </w:p>
    <w:p w14:paraId="5A70F73C" w14:textId="77777777" w:rsidR="00294D8F" w:rsidRPr="00B12AD7" w:rsidRDefault="00294D8F" w:rsidP="00294D8F">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This module will be taught by means of seminars, workshops, and self-directed study.</w:t>
      </w:r>
    </w:p>
    <w:p w14:paraId="3AC99C27" w14:textId="77777777" w:rsidR="00294D8F" w:rsidRPr="00B12AD7" w:rsidRDefault="00294D8F" w:rsidP="00294D8F">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Formative Assessment: Comments will be given on assessments, and tutorial guidance will be provided for coursework and exam.</w:t>
      </w:r>
    </w:p>
    <w:p w14:paraId="63785876" w14:textId="77777777" w:rsidR="00294D8F" w:rsidRPr="00B12AD7" w:rsidRDefault="00294D8F" w:rsidP="00294D8F">
      <w:pPr>
        <w:shd w:val="clear" w:color="auto" w:fill="FFFFFF"/>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eastAsia="en-GB"/>
        </w:rPr>
        <w:t xml:space="preserve">Student activity and time spent on each activity comprises: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3"/>
        <w:gridCol w:w="1025"/>
        <w:gridCol w:w="620"/>
      </w:tblGrid>
      <w:tr w:rsidR="00294D8F" w:rsidRPr="00B12AD7" w14:paraId="4A2D9B06" w14:textId="77777777" w:rsidTr="00FE71EB">
        <w:trPr>
          <w:trHeight w:val="432"/>
          <w:tblCellSpacing w:w="15" w:type="dxa"/>
        </w:trPr>
        <w:tc>
          <w:tcPr>
            <w:tcW w:w="0" w:type="auto"/>
            <w:tcMar>
              <w:top w:w="15" w:type="dxa"/>
              <w:left w:w="480" w:type="dxa"/>
              <w:bottom w:w="15" w:type="dxa"/>
              <w:right w:w="240" w:type="dxa"/>
            </w:tcMar>
            <w:vAlign w:val="center"/>
          </w:tcPr>
          <w:p w14:paraId="1AE68DF9" w14:textId="77777777" w:rsidR="00294D8F" w:rsidRPr="00B12AD7" w:rsidRDefault="00294D8F"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Guided</w:t>
            </w:r>
          </w:p>
        </w:tc>
        <w:tc>
          <w:tcPr>
            <w:tcW w:w="0" w:type="auto"/>
            <w:vAlign w:val="center"/>
          </w:tcPr>
          <w:p w14:paraId="19E13A8A" w14:textId="77777777" w:rsidR="00294D8F" w:rsidRPr="00B12AD7" w:rsidRDefault="00294D8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0 hours</w:t>
            </w:r>
          </w:p>
        </w:tc>
        <w:tc>
          <w:tcPr>
            <w:tcW w:w="0" w:type="auto"/>
            <w:vAlign w:val="center"/>
          </w:tcPr>
          <w:p w14:paraId="708F72A2" w14:textId="77777777" w:rsidR="00294D8F" w:rsidRPr="00B12AD7" w:rsidRDefault="00294D8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(0%)</w:t>
            </w:r>
          </w:p>
        </w:tc>
      </w:tr>
      <w:tr w:rsidR="00294D8F" w:rsidRPr="00B12AD7" w14:paraId="713376D8" w14:textId="77777777" w:rsidTr="00FE71EB">
        <w:trPr>
          <w:trHeight w:val="432"/>
          <w:tblCellSpacing w:w="15" w:type="dxa"/>
        </w:trPr>
        <w:tc>
          <w:tcPr>
            <w:tcW w:w="0" w:type="auto"/>
            <w:tcMar>
              <w:top w:w="15" w:type="dxa"/>
              <w:left w:w="480" w:type="dxa"/>
              <w:bottom w:w="15" w:type="dxa"/>
              <w:right w:w="240" w:type="dxa"/>
            </w:tcMar>
            <w:vAlign w:val="center"/>
          </w:tcPr>
          <w:p w14:paraId="52A11DDB" w14:textId="77777777" w:rsidR="00294D8F" w:rsidRPr="00B12AD7" w:rsidRDefault="00294D8F"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Lecture</w:t>
            </w:r>
          </w:p>
        </w:tc>
        <w:tc>
          <w:tcPr>
            <w:tcW w:w="0" w:type="auto"/>
            <w:vAlign w:val="center"/>
          </w:tcPr>
          <w:p w14:paraId="0A032AE3" w14:textId="77777777" w:rsidR="00294D8F" w:rsidRPr="00B12AD7" w:rsidRDefault="00294D8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0 hours</w:t>
            </w:r>
          </w:p>
        </w:tc>
        <w:tc>
          <w:tcPr>
            <w:tcW w:w="0" w:type="auto"/>
            <w:vAlign w:val="center"/>
          </w:tcPr>
          <w:p w14:paraId="3690EF27" w14:textId="77777777" w:rsidR="00294D8F" w:rsidRPr="00B12AD7" w:rsidRDefault="00294D8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(0%)</w:t>
            </w:r>
          </w:p>
        </w:tc>
      </w:tr>
      <w:tr w:rsidR="00294D8F" w:rsidRPr="00B12AD7" w14:paraId="20AF1C7C" w14:textId="77777777" w:rsidTr="00FE71EB">
        <w:trPr>
          <w:trHeight w:val="432"/>
          <w:tblCellSpacing w:w="15" w:type="dxa"/>
        </w:trPr>
        <w:tc>
          <w:tcPr>
            <w:tcW w:w="0" w:type="auto"/>
            <w:tcMar>
              <w:top w:w="15" w:type="dxa"/>
              <w:left w:w="480" w:type="dxa"/>
              <w:bottom w:w="15" w:type="dxa"/>
              <w:right w:w="240" w:type="dxa"/>
            </w:tcMar>
            <w:vAlign w:val="center"/>
          </w:tcPr>
          <w:p w14:paraId="5E6327D7" w14:textId="77777777" w:rsidR="00294D8F" w:rsidRPr="00B12AD7" w:rsidRDefault="00294D8F"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Self-guided</w:t>
            </w:r>
          </w:p>
        </w:tc>
        <w:tc>
          <w:tcPr>
            <w:tcW w:w="0" w:type="auto"/>
            <w:vAlign w:val="center"/>
          </w:tcPr>
          <w:p w14:paraId="1CFC4830" w14:textId="77777777" w:rsidR="00294D8F" w:rsidRPr="00B12AD7" w:rsidRDefault="00294D8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60 hours</w:t>
            </w:r>
          </w:p>
        </w:tc>
        <w:tc>
          <w:tcPr>
            <w:tcW w:w="0" w:type="auto"/>
            <w:vAlign w:val="center"/>
          </w:tcPr>
          <w:p w14:paraId="156A0E31" w14:textId="77777777" w:rsidR="00294D8F" w:rsidRPr="00B12AD7" w:rsidRDefault="00294D8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(60%)</w:t>
            </w:r>
          </w:p>
        </w:tc>
      </w:tr>
      <w:tr w:rsidR="00294D8F" w:rsidRPr="00B12AD7" w14:paraId="11DF12FF" w14:textId="77777777" w:rsidTr="00FE71EB">
        <w:trPr>
          <w:trHeight w:val="432"/>
          <w:tblCellSpacing w:w="15" w:type="dxa"/>
        </w:trPr>
        <w:tc>
          <w:tcPr>
            <w:tcW w:w="0" w:type="auto"/>
            <w:tcMar>
              <w:top w:w="15" w:type="dxa"/>
              <w:left w:w="480" w:type="dxa"/>
              <w:bottom w:w="15" w:type="dxa"/>
              <w:right w:w="240" w:type="dxa"/>
            </w:tcMar>
            <w:vAlign w:val="center"/>
          </w:tcPr>
          <w:p w14:paraId="78E47ABD" w14:textId="77777777" w:rsidR="00294D8F" w:rsidRPr="00B12AD7" w:rsidRDefault="00294D8F"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lastRenderedPageBreak/>
              <w:t>Seminar</w:t>
            </w:r>
          </w:p>
        </w:tc>
        <w:tc>
          <w:tcPr>
            <w:tcW w:w="0" w:type="auto"/>
            <w:vAlign w:val="center"/>
          </w:tcPr>
          <w:p w14:paraId="70459F9D" w14:textId="77777777" w:rsidR="00294D8F" w:rsidRPr="00B12AD7" w:rsidRDefault="00294D8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30 hours</w:t>
            </w:r>
          </w:p>
        </w:tc>
        <w:tc>
          <w:tcPr>
            <w:tcW w:w="0" w:type="auto"/>
            <w:vAlign w:val="center"/>
          </w:tcPr>
          <w:p w14:paraId="3A094D16" w14:textId="77777777" w:rsidR="00294D8F" w:rsidRPr="00B12AD7" w:rsidRDefault="00294D8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(30%)</w:t>
            </w:r>
          </w:p>
        </w:tc>
      </w:tr>
      <w:tr w:rsidR="00294D8F" w:rsidRPr="00B12AD7" w14:paraId="22BF414B" w14:textId="77777777" w:rsidTr="00FE71EB">
        <w:trPr>
          <w:trHeight w:val="432"/>
          <w:tblCellSpacing w:w="15" w:type="dxa"/>
        </w:trPr>
        <w:tc>
          <w:tcPr>
            <w:tcW w:w="0" w:type="auto"/>
            <w:tcMar>
              <w:top w:w="15" w:type="dxa"/>
              <w:left w:w="480" w:type="dxa"/>
              <w:bottom w:w="15" w:type="dxa"/>
              <w:right w:w="240" w:type="dxa"/>
            </w:tcMar>
            <w:vAlign w:val="center"/>
          </w:tcPr>
          <w:p w14:paraId="35E8777C" w14:textId="77777777" w:rsidR="00294D8F" w:rsidRPr="00B12AD7" w:rsidRDefault="00294D8F"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Workshop</w:t>
            </w:r>
          </w:p>
        </w:tc>
        <w:tc>
          <w:tcPr>
            <w:tcW w:w="0" w:type="auto"/>
            <w:vAlign w:val="center"/>
          </w:tcPr>
          <w:p w14:paraId="323CA863" w14:textId="77777777" w:rsidR="00294D8F" w:rsidRPr="00B12AD7" w:rsidRDefault="00294D8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10 hours</w:t>
            </w:r>
          </w:p>
        </w:tc>
        <w:tc>
          <w:tcPr>
            <w:tcW w:w="0" w:type="auto"/>
            <w:vAlign w:val="center"/>
          </w:tcPr>
          <w:p w14:paraId="5C14BDB9" w14:textId="77777777" w:rsidR="00294D8F" w:rsidRPr="00B12AD7" w:rsidRDefault="00294D8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(10%)</w:t>
            </w:r>
          </w:p>
        </w:tc>
      </w:tr>
      <w:tr w:rsidR="00294D8F" w:rsidRPr="00B12AD7" w14:paraId="67180C53" w14:textId="77777777" w:rsidTr="00FE71EB">
        <w:trPr>
          <w:trHeight w:val="432"/>
          <w:tblCellSpacing w:w="15" w:type="dxa"/>
        </w:trPr>
        <w:tc>
          <w:tcPr>
            <w:tcW w:w="0" w:type="auto"/>
            <w:tcMar>
              <w:top w:w="15" w:type="dxa"/>
              <w:left w:w="480" w:type="dxa"/>
              <w:bottom w:w="15" w:type="dxa"/>
              <w:right w:w="240" w:type="dxa"/>
            </w:tcMar>
            <w:vAlign w:val="center"/>
          </w:tcPr>
          <w:p w14:paraId="1E38A0FB" w14:textId="77777777" w:rsidR="00294D8F" w:rsidRPr="00B12AD7" w:rsidRDefault="00294D8F" w:rsidP="00FE71EB">
            <w:pPr>
              <w:spacing w:line="276" w:lineRule="auto"/>
              <w:jc w:val="both"/>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Total</w:t>
            </w:r>
          </w:p>
        </w:tc>
        <w:tc>
          <w:tcPr>
            <w:tcW w:w="0" w:type="auto"/>
            <w:vAlign w:val="center"/>
          </w:tcPr>
          <w:p w14:paraId="7D8482A4" w14:textId="77777777" w:rsidR="00294D8F" w:rsidRPr="00B12AD7" w:rsidRDefault="00294D8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100 hours</w:t>
            </w:r>
          </w:p>
        </w:tc>
        <w:tc>
          <w:tcPr>
            <w:tcW w:w="0" w:type="auto"/>
            <w:vAlign w:val="center"/>
          </w:tcPr>
          <w:p w14:paraId="5F94B607" w14:textId="77777777" w:rsidR="00294D8F" w:rsidRPr="00B12AD7" w:rsidRDefault="00294D8F" w:rsidP="00FE71EB">
            <w:pPr>
              <w:spacing w:line="276" w:lineRule="auto"/>
              <w:jc w:val="both"/>
              <w:rPr>
                <w:rFonts w:ascii="DINCE-Regular" w:hAnsi="DINCE-Regular"/>
                <w:color w:val="404040" w:themeColor="text1" w:themeTint="BF"/>
                <w:sz w:val="22"/>
                <w:szCs w:val="22"/>
                <w:lang w:val="en-GB" w:eastAsia="en-GB"/>
              </w:rPr>
            </w:pPr>
            <w:r w:rsidRPr="00B12AD7">
              <w:rPr>
                <w:rFonts w:ascii="DINCE-Regular" w:hAnsi="DINCE-Regular"/>
                <w:color w:val="404040" w:themeColor="text1" w:themeTint="BF"/>
                <w:sz w:val="22"/>
                <w:szCs w:val="22"/>
                <w:lang w:val="en-GB"/>
              </w:rPr>
              <w:t> </w:t>
            </w:r>
          </w:p>
        </w:tc>
      </w:tr>
    </w:tbl>
    <w:p w14:paraId="209DA791" w14:textId="77777777" w:rsidR="00294D8F" w:rsidRPr="00B12AD7" w:rsidRDefault="00294D8F" w:rsidP="00294D8F">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b/>
          <w:color w:val="404040" w:themeColor="text1" w:themeTint="BF"/>
          <w:sz w:val="22"/>
          <w:szCs w:val="22"/>
          <w:lang w:val="en-GB"/>
        </w:rPr>
        <w:t xml:space="preserve">Method </w:t>
      </w:r>
      <w:r w:rsidRPr="00B12AD7">
        <w:rPr>
          <w:rFonts w:ascii="DINCE-Regular" w:hAnsi="DINCE-Regular"/>
          <w:b/>
          <w:bCs/>
          <w:color w:val="404040" w:themeColor="text1" w:themeTint="BF"/>
          <w:sz w:val="22"/>
          <w:szCs w:val="22"/>
          <w:lang w:val="en-GB" w:eastAsia="en-GB"/>
        </w:rPr>
        <w:t>of Assessment</w:t>
      </w:r>
    </w:p>
    <w:p w14:paraId="5B32303A" w14:textId="5FE58CEB" w:rsidR="00294D8F" w:rsidRPr="00B12AD7" w:rsidRDefault="00294D8F" w:rsidP="00294D8F">
      <w:pPr>
        <w:shd w:val="clear" w:color="auto" w:fill="FFFFFF"/>
        <w:spacing w:line="276" w:lineRule="auto"/>
        <w:jc w:val="both"/>
        <w:outlineLvl w:val="4"/>
        <w:rPr>
          <w:rFonts w:ascii="DINCE-Regular" w:hAnsi="DINCE-Regular"/>
          <w:b/>
          <w:bCs/>
          <w:color w:val="404040" w:themeColor="text1" w:themeTint="BF"/>
          <w:sz w:val="22"/>
          <w:szCs w:val="22"/>
          <w:lang w:val="en-GB" w:eastAsia="en-GB"/>
        </w:rPr>
      </w:pPr>
      <w:r w:rsidRPr="00B12AD7">
        <w:rPr>
          <w:rFonts w:ascii="DINCE-Regular" w:hAnsi="DINCE-Regular"/>
          <w:color w:val="404040" w:themeColor="text1" w:themeTint="BF"/>
          <w:sz w:val="22"/>
          <w:szCs w:val="22"/>
          <w:lang w:val="en-GB"/>
        </w:rPr>
        <w:t xml:space="preserve">Essay (60% – </w:t>
      </w:r>
      <w:r>
        <w:rPr>
          <w:rFonts w:ascii="DINCE-Regular" w:hAnsi="DINCE-Regular"/>
          <w:color w:val="404040" w:themeColor="text1" w:themeTint="BF"/>
          <w:sz w:val="22"/>
          <w:szCs w:val="22"/>
          <w:lang w:val="en-GB"/>
        </w:rPr>
        <w:t>3</w:t>
      </w:r>
      <w:r w:rsidRPr="00B12AD7">
        <w:rPr>
          <w:rFonts w:ascii="DINCE-Regular" w:hAnsi="DINCE-Regular"/>
          <w:color w:val="404040" w:themeColor="text1" w:themeTint="BF"/>
          <w:sz w:val="22"/>
          <w:szCs w:val="22"/>
          <w:lang w:val="en-GB"/>
        </w:rPr>
        <w:t xml:space="preserve"> Credits): </w:t>
      </w:r>
      <w:r w:rsidRPr="00B12AD7">
        <w:rPr>
          <w:rFonts w:ascii="DINCE-Regular" w:hAnsi="DINCE-Regular"/>
          <w:color w:val="404040" w:themeColor="text1" w:themeTint="BF"/>
          <w:sz w:val="22"/>
          <w:szCs w:val="22"/>
          <w:lang w:val="en-GB" w:eastAsia="en-GB"/>
        </w:rPr>
        <w:t>2000</w:t>
      </w:r>
      <w:r w:rsidRPr="00B12AD7">
        <w:rPr>
          <w:rFonts w:ascii="DINCE-Regular" w:hAnsi="DINCE-Regular"/>
          <w:color w:val="404040" w:themeColor="text1" w:themeTint="BF"/>
          <w:sz w:val="22"/>
          <w:szCs w:val="22"/>
          <w:lang w:val="en-GB"/>
        </w:rPr>
        <w:t xml:space="preserve"> words; contributes to learning outcomes 1, 2, 3, 4</w:t>
      </w:r>
    </w:p>
    <w:p w14:paraId="2F711702" w14:textId="58E0FD2C" w:rsidR="00294D8F" w:rsidRPr="00B12AD7" w:rsidRDefault="00294D8F" w:rsidP="00294D8F">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Final exam (40% – </w:t>
      </w:r>
      <w:r>
        <w:rPr>
          <w:rFonts w:ascii="DINCE-Regular" w:hAnsi="DINCE-Regular"/>
          <w:color w:val="404040" w:themeColor="text1" w:themeTint="BF"/>
          <w:sz w:val="22"/>
          <w:szCs w:val="22"/>
          <w:lang w:val="en-GB"/>
        </w:rPr>
        <w:t>2</w:t>
      </w:r>
      <w:r w:rsidRPr="00B12AD7">
        <w:rPr>
          <w:rFonts w:ascii="DINCE-Regular" w:hAnsi="DINCE-Regular"/>
          <w:color w:val="404040" w:themeColor="text1" w:themeTint="BF"/>
          <w:sz w:val="22"/>
          <w:szCs w:val="22"/>
          <w:lang w:val="en-GB"/>
        </w:rPr>
        <w:t xml:space="preserve"> Credits): 120 minutes; contributes to learning outcomes 1, 2, 3, 4</w:t>
      </w:r>
    </w:p>
    <w:p w14:paraId="208C7DD2" w14:textId="77777777" w:rsidR="00294D8F" w:rsidRPr="00B12AD7" w:rsidRDefault="00294D8F" w:rsidP="00294D8F">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Re-sit</w:t>
      </w:r>
    </w:p>
    <w:p w14:paraId="48C3AFD0" w14:textId="77777777" w:rsidR="00294D8F" w:rsidRPr="00B12AD7" w:rsidRDefault="00294D8F" w:rsidP="00294D8F">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Students failing any component of assessment, at the first attempt, are entitled to one re-sit attempt. This will be by new examination and/or new coursework scheduled for the next assessment opportunity. For coursework, if more than one element existed in the first attempt, this may be combined into one assessment for re-sit.</w:t>
      </w:r>
    </w:p>
    <w:p w14:paraId="163CA631" w14:textId="77777777" w:rsidR="00294D8F" w:rsidRPr="00B12AD7" w:rsidRDefault="00294D8F" w:rsidP="00294D8F">
      <w:pPr>
        <w:spacing w:line="276" w:lineRule="auto"/>
        <w:jc w:val="both"/>
        <w:rPr>
          <w:rFonts w:ascii="DINCE-Regular" w:hAnsi="DINCE-Regular"/>
          <w:color w:val="404040" w:themeColor="text1" w:themeTint="BF"/>
          <w:sz w:val="22"/>
          <w:szCs w:val="22"/>
          <w:lang w:val="en-GB"/>
        </w:rPr>
      </w:pPr>
      <w:r w:rsidRPr="00B12AD7">
        <w:rPr>
          <w:rFonts w:ascii="DINCE-Regular" w:hAnsi="DINCE-Regular"/>
          <w:b/>
          <w:color w:val="404040" w:themeColor="text1" w:themeTint="BF"/>
          <w:sz w:val="22"/>
          <w:szCs w:val="22"/>
          <w:lang w:val="en-GB"/>
        </w:rPr>
        <w:t>Date of last amendment</w:t>
      </w:r>
    </w:p>
    <w:p w14:paraId="2FC0614C" w14:textId="77777777" w:rsidR="00294D8F" w:rsidRPr="00B12AD7" w:rsidRDefault="00294D8F" w:rsidP="00294D8F">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25-10-2016</w:t>
      </w:r>
    </w:p>
    <w:p w14:paraId="02615CA2" w14:textId="77777777" w:rsidR="00294D8F" w:rsidRPr="00B12AD7" w:rsidRDefault="00294D8F" w:rsidP="00294D8F">
      <w:pPr>
        <w:spacing w:line="276" w:lineRule="auto"/>
        <w:jc w:val="both"/>
        <w:rPr>
          <w:rFonts w:ascii="DINCE-Regular" w:hAnsi="DINCE-Regular"/>
          <w:b/>
          <w:color w:val="404040" w:themeColor="text1" w:themeTint="BF"/>
          <w:sz w:val="22"/>
          <w:szCs w:val="22"/>
          <w:lang w:val="en-GB"/>
        </w:rPr>
      </w:pPr>
    </w:p>
    <w:p w14:paraId="6C2B52EB" w14:textId="77777777" w:rsidR="00294D8F" w:rsidRPr="00B12AD7" w:rsidRDefault="00294D8F" w:rsidP="00294D8F">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3. MODULE RESOURCES</w:t>
      </w:r>
    </w:p>
    <w:p w14:paraId="5518F7AF" w14:textId="77777777" w:rsidR="00294D8F" w:rsidRPr="00B12AD7" w:rsidRDefault="00294D8F" w:rsidP="00294D8F">
      <w:pPr>
        <w:shd w:val="clear" w:color="auto" w:fill="FFFFFF"/>
        <w:spacing w:line="276" w:lineRule="auto"/>
        <w:ind w:left="720" w:hanging="720"/>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Essential Reading</w:t>
      </w:r>
    </w:p>
    <w:p w14:paraId="39E2DE26" w14:textId="77777777" w:rsidR="00294D8F" w:rsidRPr="00B12AD7" w:rsidRDefault="00294D8F" w:rsidP="00294D8F">
      <w:pPr>
        <w:spacing w:line="276" w:lineRule="auto"/>
        <w:ind w:left="720" w:hanging="720"/>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Bodenhamer, D.J., 2006. </w:t>
      </w:r>
      <w:r w:rsidRPr="00B12AD7">
        <w:rPr>
          <w:rFonts w:ascii="DINCE-Regular" w:hAnsi="DINCE-Regular"/>
          <w:i/>
          <w:color w:val="404040" w:themeColor="text1" w:themeTint="BF"/>
          <w:sz w:val="22"/>
          <w:szCs w:val="22"/>
          <w:lang w:val="en-GB"/>
        </w:rPr>
        <w:t>Our Rights</w:t>
      </w:r>
      <w:r w:rsidRPr="00B12AD7">
        <w:rPr>
          <w:rFonts w:ascii="DINCE-Regular" w:hAnsi="DINCE-Regular"/>
          <w:color w:val="404040" w:themeColor="text1" w:themeTint="BF"/>
          <w:sz w:val="22"/>
          <w:szCs w:val="22"/>
          <w:lang w:val="en-GB"/>
        </w:rPr>
        <w:t xml:space="preserve">. Oxford: Oxford University Press. </w:t>
      </w:r>
    </w:p>
    <w:p w14:paraId="4F712F05" w14:textId="77777777" w:rsidR="00294D8F" w:rsidRPr="00B12AD7" w:rsidRDefault="00294D8F" w:rsidP="00294D8F">
      <w:pPr>
        <w:pStyle w:val="Header"/>
        <w:spacing w:line="276" w:lineRule="auto"/>
        <w:ind w:left="720" w:hanging="720"/>
        <w:jc w:val="both"/>
        <w:rPr>
          <w:rFonts w:ascii="DINCE-Regular" w:hAnsi="DINCE-Regular"/>
          <w:i/>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Smith, S.W., Shelley, M.C., Barber, B.A., 2011. </w:t>
      </w:r>
      <w:r w:rsidRPr="00B12AD7">
        <w:rPr>
          <w:rFonts w:ascii="DINCE-Regular" w:hAnsi="DINCE-Regular"/>
          <w:i/>
          <w:color w:val="404040" w:themeColor="text1" w:themeTint="BF"/>
          <w:sz w:val="22"/>
          <w:szCs w:val="22"/>
          <w:lang w:val="en-GB"/>
        </w:rPr>
        <w:t>American Government and Politics Today: Essentials 2011-2012</w:t>
      </w:r>
      <w:r w:rsidRPr="00B12AD7">
        <w:rPr>
          <w:rFonts w:ascii="DINCE-Regular" w:hAnsi="DINCE-Regular"/>
          <w:color w:val="404040" w:themeColor="text1" w:themeTint="BF"/>
          <w:sz w:val="22"/>
          <w:szCs w:val="22"/>
          <w:lang w:val="en-GB"/>
        </w:rPr>
        <w:t>. Boston: Cengage Learning.</w:t>
      </w:r>
    </w:p>
    <w:p w14:paraId="4425BD24" w14:textId="77777777" w:rsidR="00294D8F" w:rsidRPr="00B12AD7" w:rsidRDefault="00294D8F" w:rsidP="00294D8F">
      <w:pPr>
        <w:shd w:val="clear" w:color="auto" w:fill="FFFFFF"/>
        <w:spacing w:line="276" w:lineRule="auto"/>
        <w:ind w:left="720" w:hanging="720"/>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Recommended Reading</w:t>
      </w:r>
    </w:p>
    <w:p w14:paraId="76D5DE40" w14:textId="77777777" w:rsidR="00294D8F" w:rsidRPr="00B12AD7" w:rsidRDefault="00294D8F" w:rsidP="00294D8F">
      <w:pPr>
        <w:spacing w:line="276" w:lineRule="auto"/>
        <w:ind w:left="720" w:hanging="720"/>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George, R.P., 2002. </w:t>
      </w:r>
      <w:r w:rsidRPr="00B12AD7">
        <w:rPr>
          <w:rFonts w:ascii="DINCE-Regular" w:hAnsi="DINCE-Regular"/>
          <w:i/>
          <w:color w:val="404040" w:themeColor="text1" w:themeTint="BF"/>
          <w:sz w:val="22"/>
          <w:szCs w:val="22"/>
          <w:lang w:val="en-GB"/>
        </w:rPr>
        <w:t>Great Cases in Constitutional Law</w:t>
      </w:r>
      <w:r w:rsidRPr="00B12AD7">
        <w:rPr>
          <w:rFonts w:ascii="DINCE-Regular" w:hAnsi="DINCE-Regular"/>
          <w:color w:val="404040" w:themeColor="text1" w:themeTint="BF"/>
          <w:sz w:val="22"/>
          <w:szCs w:val="22"/>
          <w:lang w:val="en-GB"/>
        </w:rPr>
        <w:t>. Princeton: Princeton University Press.</w:t>
      </w:r>
    </w:p>
    <w:p w14:paraId="05BC24BB" w14:textId="77777777" w:rsidR="00294D8F" w:rsidRPr="00B12AD7" w:rsidRDefault="00294D8F" w:rsidP="00294D8F">
      <w:pPr>
        <w:spacing w:line="276" w:lineRule="auto"/>
        <w:ind w:left="720" w:hanging="720"/>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 xml:space="preserve">Rabkin, J., 2005. </w:t>
      </w:r>
      <w:r w:rsidRPr="00B12AD7">
        <w:rPr>
          <w:rFonts w:ascii="DINCE-Regular" w:hAnsi="DINCE-Regular"/>
          <w:i/>
          <w:color w:val="404040" w:themeColor="text1" w:themeTint="BF"/>
          <w:sz w:val="22"/>
          <w:szCs w:val="22"/>
          <w:lang w:val="en-GB"/>
        </w:rPr>
        <w:t>Law Without Nations?</w:t>
      </w:r>
      <w:r w:rsidRPr="00B12AD7">
        <w:rPr>
          <w:rFonts w:ascii="DINCE-Regular" w:hAnsi="DINCE-Regular"/>
          <w:color w:val="404040" w:themeColor="text1" w:themeTint="BF"/>
          <w:sz w:val="22"/>
          <w:szCs w:val="22"/>
          <w:lang w:val="en-GB"/>
        </w:rPr>
        <w:t xml:space="preserve"> Princeton: Princeton University Press. </w:t>
      </w:r>
    </w:p>
    <w:p w14:paraId="1DD9C791" w14:textId="77777777" w:rsidR="00294D8F" w:rsidRPr="00B12AD7" w:rsidRDefault="00294D8F" w:rsidP="00294D8F">
      <w:pPr>
        <w:shd w:val="clear" w:color="auto" w:fill="FFFFFF"/>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Required Equipment</w:t>
      </w:r>
    </w:p>
    <w:p w14:paraId="46C9D0E7" w14:textId="77777777" w:rsidR="00294D8F" w:rsidRPr="00B12AD7" w:rsidRDefault="00294D8F" w:rsidP="00294D8F">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None</w:t>
      </w:r>
    </w:p>
    <w:p w14:paraId="476015D8" w14:textId="77777777" w:rsidR="00294D8F" w:rsidRPr="00B12AD7" w:rsidRDefault="00294D8F" w:rsidP="00294D8F">
      <w:pPr>
        <w:spacing w:line="276" w:lineRule="auto"/>
        <w:jc w:val="both"/>
        <w:rPr>
          <w:rFonts w:ascii="DINCE-Regular" w:hAnsi="DINCE-Regular"/>
          <w:b/>
          <w:color w:val="404040" w:themeColor="text1" w:themeTint="BF"/>
          <w:sz w:val="22"/>
          <w:szCs w:val="22"/>
          <w:lang w:val="en-GB"/>
        </w:rPr>
      </w:pPr>
    </w:p>
    <w:p w14:paraId="4C32D6D6" w14:textId="77777777" w:rsidR="00294D8F" w:rsidRPr="00B12AD7" w:rsidRDefault="00294D8F" w:rsidP="00294D8F">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4. MODULE ORGANISATION</w:t>
      </w:r>
    </w:p>
    <w:p w14:paraId="5568A1A3" w14:textId="77777777" w:rsidR="00294D8F" w:rsidRPr="00B12AD7" w:rsidRDefault="00294D8F" w:rsidP="00294D8F">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Module leader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8"/>
        <w:gridCol w:w="1923"/>
      </w:tblGrid>
      <w:tr w:rsidR="00294D8F" w:rsidRPr="00B12AD7" w14:paraId="29EABE05" w14:textId="77777777" w:rsidTr="00FE71EB">
        <w:trPr>
          <w:trHeight w:val="432"/>
          <w:tblCellSpacing w:w="15" w:type="dxa"/>
        </w:trPr>
        <w:tc>
          <w:tcPr>
            <w:tcW w:w="0" w:type="auto"/>
            <w:tcMar>
              <w:top w:w="15" w:type="dxa"/>
              <w:left w:w="480" w:type="dxa"/>
              <w:bottom w:w="15" w:type="dxa"/>
              <w:right w:w="240" w:type="dxa"/>
            </w:tcMar>
            <w:vAlign w:val="center"/>
            <w:hideMark/>
          </w:tcPr>
          <w:p w14:paraId="2A0DD883" w14:textId="77777777" w:rsidR="00294D8F" w:rsidRPr="00B12AD7" w:rsidRDefault="00294D8F" w:rsidP="00FE71EB">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Name</w:t>
            </w:r>
          </w:p>
        </w:tc>
        <w:tc>
          <w:tcPr>
            <w:tcW w:w="0" w:type="auto"/>
            <w:vAlign w:val="center"/>
            <w:hideMark/>
          </w:tcPr>
          <w:p w14:paraId="7037DB73" w14:textId="77777777" w:rsidR="00294D8F" w:rsidRPr="00B12AD7" w:rsidRDefault="00294D8F" w:rsidP="00FE71EB">
            <w:pPr>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Prof. Andrzej Bryk</w:t>
            </w:r>
          </w:p>
        </w:tc>
      </w:tr>
      <w:tr w:rsidR="00294D8F" w:rsidRPr="00B12AD7" w14:paraId="6CA6176C" w14:textId="77777777" w:rsidTr="00FE71EB">
        <w:trPr>
          <w:trHeight w:val="432"/>
          <w:tblCellSpacing w:w="15" w:type="dxa"/>
        </w:trPr>
        <w:tc>
          <w:tcPr>
            <w:tcW w:w="0" w:type="auto"/>
            <w:tcMar>
              <w:top w:w="15" w:type="dxa"/>
              <w:left w:w="480" w:type="dxa"/>
              <w:bottom w:w="15" w:type="dxa"/>
              <w:right w:w="240" w:type="dxa"/>
            </w:tcMar>
            <w:vAlign w:val="center"/>
            <w:hideMark/>
          </w:tcPr>
          <w:p w14:paraId="2D88873B" w14:textId="77777777" w:rsidR="00294D8F" w:rsidRPr="00B12AD7" w:rsidRDefault="00294D8F" w:rsidP="00FE71EB">
            <w:pPr>
              <w:spacing w:line="276" w:lineRule="auto"/>
              <w:jc w:val="both"/>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E-mail</w:t>
            </w:r>
          </w:p>
        </w:tc>
        <w:tc>
          <w:tcPr>
            <w:tcW w:w="0" w:type="auto"/>
            <w:vAlign w:val="center"/>
            <w:hideMark/>
          </w:tcPr>
          <w:p w14:paraId="69B8ABDC" w14:textId="77777777" w:rsidR="00294D8F" w:rsidRPr="00B12AD7" w:rsidRDefault="00294D8F" w:rsidP="00FE71EB">
            <w:pPr>
              <w:spacing w:line="276" w:lineRule="auto"/>
              <w:jc w:val="both"/>
              <w:rPr>
                <w:rFonts w:ascii="DINCE-Regular" w:hAnsi="DINCE-Regular"/>
                <w:color w:val="404040" w:themeColor="text1" w:themeTint="BF"/>
                <w:sz w:val="22"/>
                <w:szCs w:val="22"/>
                <w:lang w:val="en-GB"/>
              </w:rPr>
            </w:pPr>
            <w:hyperlink r:id="rId5" w:history="1">
              <w:r w:rsidRPr="00B12AD7">
                <w:rPr>
                  <w:rStyle w:val="Hyperlink"/>
                  <w:rFonts w:ascii="DINCE-Regular" w:hAnsi="DINCE-Regular"/>
                  <w:color w:val="404040" w:themeColor="text1" w:themeTint="BF"/>
                  <w:sz w:val="22"/>
                  <w:szCs w:val="22"/>
                  <w:lang w:val="en-GB"/>
                </w:rPr>
                <w:t>apbryk@gmail.com</w:t>
              </w:r>
            </w:hyperlink>
            <w:r w:rsidRPr="00B12AD7">
              <w:rPr>
                <w:rFonts w:ascii="DINCE-Regular" w:hAnsi="DINCE-Regular"/>
                <w:color w:val="404040" w:themeColor="text1" w:themeTint="BF"/>
                <w:sz w:val="22"/>
                <w:szCs w:val="22"/>
                <w:lang w:val="en-GB"/>
              </w:rPr>
              <w:t xml:space="preserve"> </w:t>
            </w:r>
          </w:p>
        </w:tc>
      </w:tr>
    </w:tbl>
    <w:p w14:paraId="3ADD77C8" w14:textId="77777777" w:rsidR="00294D8F" w:rsidRPr="00B12AD7" w:rsidRDefault="00294D8F" w:rsidP="00294D8F">
      <w:pPr>
        <w:shd w:val="clear" w:color="auto" w:fill="FFFFFF"/>
        <w:spacing w:line="276" w:lineRule="auto"/>
        <w:jc w:val="both"/>
        <w:outlineLvl w:val="4"/>
        <w:rPr>
          <w:rFonts w:ascii="DINCE-Regular" w:hAnsi="DINCE-Regular"/>
          <w:b/>
          <w:color w:val="404040" w:themeColor="text1" w:themeTint="BF"/>
          <w:sz w:val="22"/>
          <w:szCs w:val="22"/>
          <w:lang w:val="en-GB"/>
        </w:rPr>
      </w:pPr>
      <w:r w:rsidRPr="00B12AD7">
        <w:rPr>
          <w:rFonts w:ascii="DINCE-Regular" w:hAnsi="DINCE-Regular"/>
          <w:b/>
          <w:color w:val="404040" w:themeColor="text1" w:themeTint="BF"/>
          <w:sz w:val="22"/>
          <w:szCs w:val="22"/>
          <w:lang w:val="en-GB"/>
        </w:rPr>
        <w:t>Length and month of examination</w:t>
      </w:r>
    </w:p>
    <w:p w14:paraId="5D48FC8F" w14:textId="77777777" w:rsidR="00294D8F" w:rsidRPr="00B12AD7" w:rsidRDefault="00294D8F" w:rsidP="00294D8F">
      <w:pPr>
        <w:shd w:val="clear" w:color="auto" w:fill="FFFFFF"/>
        <w:spacing w:line="276" w:lineRule="auto"/>
        <w:jc w:val="both"/>
        <w:rPr>
          <w:rFonts w:ascii="DINCE-Regular" w:hAnsi="DINCE-Regular"/>
          <w:color w:val="404040" w:themeColor="text1" w:themeTint="BF"/>
          <w:sz w:val="22"/>
          <w:szCs w:val="22"/>
          <w:lang w:val="en-GB"/>
        </w:rPr>
      </w:pPr>
      <w:r w:rsidRPr="00B12AD7">
        <w:rPr>
          <w:rFonts w:ascii="DINCE-Regular" w:hAnsi="DINCE-Regular"/>
          <w:color w:val="404040" w:themeColor="text1" w:themeTint="BF"/>
          <w:sz w:val="22"/>
          <w:szCs w:val="22"/>
          <w:lang w:val="en-GB"/>
        </w:rPr>
        <w:t>120 minutes in June</w:t>
      </w:r>
    </w:p>
    <w:p w14:paraId="2BD8A147" w14:textId="77777777" w:rsidR="00BC319D" w:rsidRDefault="00BC319D"/>
    <w:sectPr w:rsidR="00BC31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INCE-Regular">
    <w:panose1 w:val="020B0604020202020204"/>
    <w:charset w:val="00"/>
    <w:family w:val="auto"/>
    <w:pitch w:val="variable"/>
    <w:sig w:usb0="8000002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05BCA"/>
    <w:multiLevelType w:val="multilevel"/>
    <w:tmpl w:val="F900223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6514552"/>
    <w:multiLevelType w:val="multilevel"/>
    <w:tmpl w:val="87ECDA48"/>
    <w:lvl w:ilvl="0">
      <w:start w:val="1"/>
      <w:numFmt w:val="bullet"/>
      <w:lvlText w:val=""/>
      <w:lvlJc w:val="left"/>
      <w:pPr>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869996507">
    <w:abstractNumId w:val="0"/>
  </w:num>
  <w:num w:numId="2" w16cid:durableId="880169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D8F"/>
    <w:rsid w:val="00294D8F"/>
    <w:rsid w:val="002F545A"/>
    <w:rsid w:val="00605D61"/>
    <w:rsid w:val="00A0510C"/>
    <w:rsid w:val="00BC319D"/>
    <w:rsid w:val="00C64B4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7A61A220"/>
  <w15:chartTrackingRefBased/>
  <w15:docId w15:val="{A160CC65-D389-B64B-B4E2-F43595E7D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D8F"/>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294D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294D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4D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4D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4D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4D8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4D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4D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4D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D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94D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4D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4D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4D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4D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4D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4D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4D8F"/>
    <w:rPr>
      <w:rFonts w:eastAsiaTheme="majorEastAsia" w:cstheme="majorBidi"/>
      <w:color w:val="272727" w:themeColor="text1" w:themeTint="D8"/>
    </w:rPr>
  </w:style>
  <w:style w:type="paragraph" w:styleId="Title">
    <w:name w:val="Title"/>
    <w:basedOn w:val="Normal"/>
    <w:next w:val="Normal"/>
    <w:link w:val="TitleChar"/>
    <w:uiPriority w:val="10"/>
    <w:qFormat/>
    <w:rsid w:val="00294D8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4D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4D8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4D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4D8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94D8F"/>
    <w:rPr>
      <w:i/>
      <w:iCs/>
      <w:color w:val="404040" w:themeColor="text1" w:themeTint="BF"/>
    </w:rPr>
  </w:style>
  <w:style w:type="paragraph" w:styleId="ListParagraph">
    <w:name w:val="List Paragraph"/>
    <w:basedOn w:val="Normal"/>
    <w:uiPriority w:val="34"/>
    <w:qFormat/>
    <w:rsid w:val="00294D8F"/>
    <w:pPr>
      <w:ind w:left="720"/>
      <w:contextualSpacing/>
    </w:pPr>
  </w:style>
  <w:style w:type="character" w:styleId="IntenseEmphasis">
    <w:name w:val="Intense Emphasis"/>
    <w:basedOn w:val="DefaultParagraphFont"/>
    <w:uiPriority w:val="21"/>
    <w:qFormat/>
    <w:rsid w:val="00294D8F"/>
    <w:rPr>
      <w:i/>
      <w:iCs/>
      <w:color w:val="0F4761" w:themeColor="accent1" w:themeShade="BF"/>
    </w:rPr>
  </w:style>
  <w:style w:type="paragraph" w:styleId="IntenseQuote">
    <w:name w:val="Intense Quote"/>
    <w:basedOn w:val="Normal"/>
    <w:next w:val="Normal"/>
    <w:link w:val="IntenseQuoteChar"/>
    <w:uiPriority w:val="30"/>
    <w:qFormat/>
    <w:rsid w:val="00294D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4D8F"/>
    <w:rPr>
      <w:i/>
      <w:iCs/>
      <w:color w:val="0F4761" w:themeColor="accent1" w:themeShade="BF"/>
    </w:rPr>
  </w:style>
  <w:style w:type="character" w:styleId="IntenseReference">
    <w:name w:val="Intense Reference"/>
    <w:basedOn w:val="DefaultParagraphFont"/>
    <w:uiPriority w:val="32"/>
    <w:qFormat/>
    <w:rsid w:val="00294D8F"/>
    <w:rPr>
      <w:b/>
      <w:bCs/>
      <w:smallCaps/>
      <w:color w:val="0F4761" w:themeColor="accent1" w:themeShade="BF"/>
      <w:spacing w:val="5"/>
    </w:rPr>
  </w:style>
  <w:style w:type="paragraph" w:styleId="BodyTextIndent">
    <w:name w:val="Body Text Indent"/>
    <w:basedOn w:val="Normal"/>
    <w:link w:val="BodyTextIndentChar"/>
    <w:uiPriority w:val="99"/>
    <w:semiHidden/>
    <w:rsid w:val="00294D8F"/>
    <w:pPr>
      <w:spacing w:after="120"/>
      <w:ind w:left="283"/>
    </w:pPr>
    <w:rPr>
      <w:lang w:val="pl-PL" w:eastAsia="pl-PL"/>
    </w:rPr>
  </w:style>
  <w:style w:type="character" w:customStyle="1" w:styleId="BodyTextIndentChar">
    <w:name w:val="Body Text Indent Char"/>
    <w:basedOn w:val="DefaultParagraphFont"/>
    <w:link w:val="BodyTextIndent"/>
    <w:uiPriority w:val="99"/>
    <w:semiHidden/>
    <w:rsid w:val="00294D8F"/>
    <w:rPr>
      <w:rFonts w:ascii="Times New Roman" w:eastAsia="Times New Roman" w:hAnsi="Times New Roman" w:cs="Times New Roman"/>
      <w:lang w:val="pl-PL" w:eastAsia="pl-PL"/>
    </w:rPr>
  </w:style>
  <w:style w:type="paragraph" w:styleId="Header">
    <w:name w:val="header"/>
    <w:basedOn w:val="Normal"/>
    <w:link w:val="HeaderChar"/>
    <w:uiPriority w:val="99"/>
    <w:rsid w:val="00294D8F"/>
    <w:pPr>
      <w:tabs>
        <w:tab w:val="center" w:pos="4536"/>
        <w:tab w:val="right" w:pos="9072"/>
      </w:tabs>
    </w:pPr>
    <w:rPr>
      <w:lang w:val="pl-PL" w:eastAsia="pl-PL"/>
    </w:rPr>
  </w:style>
  <w:style w:type="character" w:customStyle="1" w:styleId="HeaderChar">
    <w:name w:val="Header Char"/>
    <w:basedOn w:val="DefaultParagraphFont"/>
    <w:link w:val="Header"/>
    <w:uiPriority w:val="99"/>
    <w:rsid w:val="00294D8F"/>
    <w:rPr>
      <w:rFonts w:ascii="Times New Roman" w:eastAsia="Times New Roman" w:hAnsi="Times New Roman" w:cs="Times New Roman"/>
      <w:lang w:val="pl-PL" w:eastAsia="pl-PL"/>
    </w:rPr>
  </w:style>
  <w:style w:type="character" w:styleId="Hyperlink">
    <w:name w:val="Hyperlink"/>
    <w:basedOn w:val="DefaultParagraphFont"/>
    <w:uiPriority w:val="99"/>
    <w:rsid w:val="00294D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javascript:var%20win%20=%20top.openWin('/WorldClient.dll?Session=TMF79FBSO19A4&amp;View=Compose&amp;New=Yes&amp;To=apbryk@gmail.com','Compose',800,600,'y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810</Words>
  <Characters>4623</Characters>
  <Application>Microsoft Office Word</Application>
  <DocSecurity>0</DocSecurity>
  <Lines>38</Lines>
  <Paragraphs>10</Paragraphs>
  <ScaleCrop>false</ScaleCrop>
  <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2025-08-22T14:08:00Z</dcterms:created>
  <dcterms:modified xsi:type="dcterms:W3CDTF">2025-08-22T14:09:00Z</dcterms:modified>
</cp:coreProperties>
</file>