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0AEF" w14:textId="77777777" w:rsidR="003467F6" w:rsidRDefault="00E13EF0">
      <w:pPr>
        <w:spacing w:after="0"/>
        <w:jc w:val="center"/>
        <w:rPr>
          <w:color w:val="000000"/>
          <w:sz w:val="24"/>
          <w:szCs w:val="24"/>
        </w:rPr>
      </w:pPr>
      <w:r>
        <w:rPr>
          <w:noProof/>
        </w:rPr>
        <w:drawing>
          <wp:inline distT="0" distB="0" distL="0" distR="0" wp14:anchorId="1DB4F3B0" wp14:editId="41F57C0E">
            <wp:extent cx="5760720" cy="794385"/>
            <wp:effectExtent l="0" t="0" r="0" b="0"/>
            <wp:docPr id="2069789019" name="image7.jpg"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wp:cNvGraphicFramePr/>
            <a:graphic xmlns:a="http://schemas.openxmlformats.org/drawingml/2006/main">
              <a:graphicData uri="http://schemas.openxmlformats.org/drawingml/2006/picture">
                <pic:pic xmlns:pic="http://schemas.openxmlformats.org/drawingml/2006/picture">
                  <pic:nvPicPr>
                    <pic:cNvPr id="0" name="image7.jpg"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pic:cNvPicPr preferRelativeResize="0"/>
                  </pic:nvPicPr>
                  <pic:blipFill>
                    <a:blip r:embed="rId8"/>
                    <a:srcRect/>
                    <a:stretch>
                      <a:fillRect/>
                    </a:stretch>
                  </pic:blipFill>
                  <pic:spPr>
                    <a:xfrm>
                      <a:off x="0" y="0"/>
                      <a:ext cx="5760720" cy="794385"/>
                    </a:xfrm>
                    <a:prstGeom prst="rect">
                      <a:avLst/>
                    </a:prstGeom>
                    <a:ln/>
                  </pic:spPr>
                </pic:pic>
              </a:graphicData>
            </a:graphic>
          </wp:inline>
        </w:drawing>
      </w:r>
    </w:p>
    <w:p w14:paraId="2E774A7E" w14:textId="77777777" w:rsidR="003467F6" w:rsidRPr="00C61E14" w:rsidRDefault="00E13EF0">
      <w:pPr>
        <w:spacing w:after="0"/>
        <w:rPr>
          <w:smallCaps/>
          <w:color w:val="000000"/>
        </w:rPr>
      </w:pPr>
      <w:r w:rsidRPr="00C61E14">
        <w:rPr>
          <w:color w:val="000000"/>
        </w:rPr>
        <w:t>Wykonawca:</w:t>
      </w:r>
      <w:r w:rsidRPr="00C61E14">
        <w:rPr>
          <w:b/>
          <w:smallCaps/>
          <w:color w:val="000000"/>
        </w:rPr>
        <w:t xml:space="preserve"> </w:t>
      </w:r>
      <w:r w:rsidRPr="00C61E14">
        <w:rPr>
          <w:color w:val="000000"/>
        </w:rPr>
        <w:t>OVERBUILT SPÓŁK</w:t>
      </w:r>
      <w:r w:rsidRPr="00C61E14">
        <w:t>A</w:t>
      </w:r>
      <w:r w:rsidRPr="00C61E14">
        <w:rPr>
          <w:color w:val="000000"/>
        </w:rPr>
        <w:t xml:space="preserve"> AKCYJN</w:t>
      </w:r>
      <w:r w:rsidRPr="00C61E14">
        <w:t>A</w:t>
      </w:r>
      <w:r w:rsidRPr="00C61E14">
        <w:rPr>
          <w:color w:val="000000"/>
        </w:rPr>
        <w:t>, al. Zwycięstwa 96/98, 81-451 Gdynia, NIP: 5862368539, REGON: 388711795, KRS: 0000909278</w:t>
      </w:r>
    </w:p>
    <w:p w14:paraId="31718B2E" w14:textId="77777777" w:rsidR="003467F6" w:rsidRPr="00C61E14" w:rsidRDefault="00E13EF0">
      <w:pPr>
        <w:spacing w:after="0"/>
        <w:rPr>
          <w:smallCaps/>
          <w:color w:val="000000"/>
        </w:rPr>
      </w:pPr>
      <w:r w:rsidRPr="00C61E14">
        <w:rPr>
          <w:color w:val="000000"/>
        </w:rPr>
        <w:t>Miejscowość:</w:t>
      </w:r>
      <w:r w:rsidRPr="00C61E14">
        <w:t xml:space="preserve"> </w:t>
      </w:r>
      <w:r w:rsidRPr="00C61E14">
        <w:rPr>
          <w:color w:val="000000"/>
        </w:rPr>
        <w:t>Gdynia</w:t>
      </w:r>
    </w:p>
    <w:p w14:paraId="6BF54185" w14:textId="77777777" w:rsidR="003467F6" w:rsidRPr="00C61E14" w:rsidRDefault="00E13EF0">
      <w:pPr>
        <w:spacing w:after="0"/>
        <w:rPr>
          <w:smallCaps/>
          <w:color w:val="000000"/>
        </w:rPr>
      </w:pPr>
      <w:r w:rsidRPr="00C61E14">
        <w:rPr>
          <w:color w:val="000000"/>
        </w:rPr>
        <w:t xml:space="preserve">Data: </w:t>
      </w:r>
      <w:r w:rsidRPr="00C61E14">
        <w:t>28.02.2025</w:t>
      </w:r>
    </w:p>
    <w:p w14:paraId="2999E5DD" w14:textId="6C0ECE3F" w:rsidR="003467F6" w:rsidRPr="00C61E14" w:rsidRDefault="00C61E14" w:rsidP="00C61E14">
      <w:pPr>
        <w:pStyle w:val="Tytu"/>
        <w:spacing w:before="600" w:after="240" w:line="240" w:lineRule="auto"/>
        <w:ind w:left="-215"/>
        <w:rPr>
          <w:rFonts w:ascii="Calibri" w:eastAsia="Calibri" w:hAnsi="Calibri" w:cs="Calibri"/>
          <w:color w:val="000000"/>
          <w:sz w:val="48"/>
          <w:szCs w:val="48"/>
        </w:rPr>
      </w:pPr>
      <w:r>
        <w:rPr>
          <w:rFonts w:ascii="Calibri" w:eastAsia="Calibri" w:hAnsi="Calibri" w:cs="Calibri"/>
          <w:caps w:val="0"/>
          <w:color w:val="000000"/>
          <w:sz w:val="48"/>
          <w:szCs w:val="48"/>
        </w:rPr>
        <w:t xml:space="preserve">Instrukcja obsługi </w:t>
      </w:r>
      <w:r w:rsidRPr="00C61E14">
        <w:rPr>
          <w:rFonts w:ascii="Calibri" w:eastAsia="Calibri" w:hAnsi="Calibri" w:cs="Calibri"/>
          <w:caps w:val="0"/>
          <w:color w:val="000000"/>
          <w:sz w:val="48"/>
          <w:szCs w:val="48"/>
        </w:rPr>
        <w:t>Wirtualnego symulatora pilotażu dronów.</w:t>
      </w:r>
    </w:p>
    <w:p w14:paraId="101411F9" w14:textId="77777777" w:rsidR="003467F6" w:rsidRDefault="00E13EF0">
      <w:pPr>
        <w:jc w:val="both"/>
      </w:pPr>
      <w:r>
        <w:t xml:space="preserve">Instrukcja opracowana w ramach realizacji przedmiotu umowy nr U/4/2024/LOT/UŁA. </w:t>
      </w:r>
    </w:p>
    <w:p w14:paraId="6D024A42" w14:textId="77777777" w:rsidR="003467F6" w:rsidRDefault="00E13EF0">
      <w:r>
        <w:t>Instrukcja opracowana na potrzebę realizacji projektu pn. „Administrowanie przestrzenią powietrzną przyszłości – edukacja poprzez symulację i praktykę na potrzeby gospodarki przyszłości” (numer projektu: FERS.01.05-IP.08-0263/23) realizowanego w ramach programu Fundusze Europejskie dla Rozwoju Społecznego 2021-2027 współfinansowanego ze środków Europejskiego Funduszu Społecznego Plus.</w:t>
      </w:r>
    </w:p>
    <w:p w14:paraId="287176B1" w14:textId="0DA7889E" w:rsidR="00C61E14" w:rsidRDefault="00C61E14" w:rsidP="000D7FB5">
      <w:pPr>
        <w:spacing w:after="360"/>
        <w:ind w:left="-215"/>
      </w:pPr>
      <w:r>
        <w:t>Projekt realizowany przez Uczelnią Łazarskiego.</w:t>
      </w:r>
    </w:p>
    <w:sdt>
      <w:sdtPr>
        <w:rPr>
          <w:caps w:val="0"/>
          <w:color w:val="auto"/>
          <w:spacing w:val="0"/>
          <w:sz w:val="26"/>
          <w:szCs w:val="26"/>
        </w:rPr>
        <w:id w:val="843521577"/>
        <w:docPartObj>
          <w:docPartGallery w:val="Table of Contents"/>
          <w:docPartUnique/>
        </w:docPartObj>
      </w:sdtPr>
      <w:sdtEndPr>
        <w:rPr>
          <w:b/>
          <w:bCs/>
        </w:rPr>
      </w:sdtEndPr>
      <w:sdtContent>
        <w:p w14:paraId="3A33290A" w14:textId="60EB93DE" w:rsidR="007A5461" w:rsidRPr="007A5461" w:rsidRDefault="001C0517">
          <w:pPr>
            <w:pStyle w:val="Nagwekspisutreci"/>
            <w:rPr>
              <w:color w:val="auto"/>
              <w:sz w:val="26"/>
              <w:szCs w:val="26"/>
            </w:rPr>
          </w:pPr>
          <w:r>
            <w:rPr>
              <w:caps w:val="0"/>
              <w:color w:val="auto"/>
              <w:sz w:val="26"/>
              <w:szCs w:val="26"/>
            </w:rPr>
            <w:t>S</w:t>
          </w:r>
          <w:r w:rsidRPr="007A5461">
            <w:rPr>
              <w:caps w:val="0"/>
              <w:color w:val="auto"/>
              <w:sz w:val="26"/>
              <w:szCs w:val="26"/>
            </w:rPr>
            <w:t>pis treści</w:t>
          </w:r>
        </w:p>
        <w:p w14:paraId="60D318E7" w14:textId="5EC66D7B" w:rsidR="00187CBD" w:rsidRDefault="007A5461">
          <w:pPr>
            <w:pStyle w:val="Spistreci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2249827" w:history="1">
            <w:r w:rsidR="00187CBD" w:rsidRPr="00C7743D">
              <w:rPr>
                <w:rStyle w:val="Hipercze"/>
                <w:noProof/>
              </w:rPr>
              <w:t>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Opis budowy symulatora</w:t>
            </w:r>
            <w:r w:rsidR="00187CBD">
              <w:rPr>
                <w:noProof/>
                <w:webHidden/>
              </w:rPr>
              <w:tab/>
            </w:r>
            <w:r w:rsidR="00187CBD">
              <w:rPr>
                <w:noProof/>
                <w:webHidden/>
              </w:rPr>
              <w:fldChar w:fldCharType="begin"/>
            </w:r>
            <w:r w:rsidR="00187CBD">
              <w:rPr>
                <w:noProof/>
                <w:webHidden/>
              </w:rPr>
              <w:instrText xml:space="preserve"> PAGEREF _Toc192249827 \h </w:instrText>
            </w:r>
            <w:r w:rsidR="00187CBD">
              <w:rPr>
                <w:noProof/>
                <w:webHidden/>
              </w:rPr>
            </w:r>
            <w:r w:rsidR="00187CBD">
              <w:rPr>
                <w:noProof/>
                <w:webHidden/>
              </w:rPr>
              <w:fldChar w:fldCharType="separate"/>
            </w:r>
            <w:r w:rsidR="00187CBD">
              <w:rPr>
                <w:noProof/>
                <w:webHidden/>
              </w:rPr>
              <w:t>2</w:t>
            </w:r>
            <w:r w:rsidR="00187CBD">
              <w:rPr>
                <w:noProof/>
                <w:webHidden/>
              </w:rPr>
              <w:fldChar w:fldCharType="end"/>
            </w:r>
          </w:hyperlink>
        </w:p>
        <w:p w14:paraId="1D6F2D70" w14:textId="259BAA71" w:rsidR="00187CBD" w:rsidRDefault="001B260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192249828" w:history="1">
            <w:r w:rsidR="00187CBD" w:rsidRPr="00C7743D">
              <w:rPr>
                <w:rStyle w:val="Hipercze"/>
                <w:noProof/>
              </w:rPr>
              <w:t>II.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Korzystanie z symulatora przez instruktora (personel dydaktyczny)</w:t>
            </w:r>
            <w:r w:rsidR="00187CBD">
              <w:rPr>
                <w:noProof/>
                <w:webHidden/>
              </w:rPr>
              <w:tab/>
            </w:r>
            <w:r w:rsidR="00187CBD">
              <w:rPr>
                <w:noProof/>
                <w:webHidden/>
              </w:rPr>
              <w:fldChar w:fldCharType="begin"/>
            </w:r>
            <w:r w:rsidR="00187CBD">
              <w:rPr>
                <w:noProof/>
                <w:webHidden/>
              </w:rPr>
              <w:instrText xml:space="preserve"> PAGEREF _Toc192249828 \h </w:instrText>
            </w:r>
            <w:r w:rsidR="00187CBD">
              <w:rPr>
                <w:noProof/>
                <w:webHidden/>
              </w:rPr>
            </w:r>
            <w:r w:rsidR="00187CBD">
              <w:rPr>
                <w:noProof/>
                <w:webHidden/>
              </w:rPr>
              <w:fldChar w:fldCharType="separate"/>
            </w:r>
            <w:r w:rsidR="00187CBD">
              <w:rPr>
                <w:noProof/>
                <w:webHidden/>
              </w:rPr>
              <w:t>4</w:t>
            </w:r>
            <w:r w:rsidR="00187CBD">
              <w:rPr>
                <w:noProof/>
                <w:webHidden/>
              </w:rPr>
              <w:fldChar w:fldCharType="end"/>
            </w:r>
          </w:hyperlink>
        </w:p>
        <w:p w14:paraId="4D2EDB28" w14:textId="2888343A"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29" w:history="1">
            <w:r w:rsidR="00187CBD" w:rsidRPr="00C7743D">
              <w:rPr>
                <w:rStyle w:val="Hipercze"/>
                <w:noProof/>
              </w:rPr>
              <w:t>III.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Korzystanie z symulatora przez studentów oraz studentki</w:t>
            </w:r>
            <w:r w:rsidR="00187CBD">
              <w:rPr>
                <w:noProof/>
                <w:webHidden/>
              </w:rPr>
              <w:tab/>
            </w:r>
            <w:r w:rsidR="00187CBD">
              <w:rPr>
                <w:noProof/>
                <w:webHidden/>
              </w:rPr>
              <w:fldChar w:fldCharType="begin"/>
            </w:r>
            <w:r w:rsidR="00187CBD">
              <w:rPr>
                <w:noProof/>
                <w:webHidden/>
              </w:rPr>
              <w:instrText xml:space="preserve"> PAGEREF _Toc192249829 \h </w:instrText>
            </w:r>
            <w:r w:rsidR="00187CBD">
              <w:rPr>
                <w:noProof/>
                <w:webHidden/>
              </w:rPr>
            </w:r>
            <w:r w:rsidR="00187CBD">
              <w:rPr>
                <w:noProof/>
                <w:webHidden/>
              </w:rPr>
              <w:fldChar w:fldCharType="separate"/>
            </w:r>
            <w:r w:rsidR="00187CBD">
              <w:rPr>
                <w:noProof/>
                <w:webHidden/>
              </w:rPr>
              <w:t>9</w:t>
            </w:r>
            <w:r w:rsidR="00187CBD">
              <w:rPr>
                <w:noProof/>
                <w:webHidden/>
              </w:rPr>
              <w:fldChar w:fldCharType="end"/>
            </w:r>
          </w:hyperlink>
        </w:p>
        <w:p w14:paraId="199A7396" w14:textId="52076FFD"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0" w:history="1">
            <w:r w:rsidR="00187CBD" w:rsidRPr="00C7743D">
              <w:rPr>
                <w:rStyle w:val="Hipercze"/>
                <w:noProof/>
              </w:rPr>
              <w:t>IV.</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Korzystanie z symulatora przez personel techniczny – utrzymanie symulatora w pełnej sprawności</w:t>
            </w:r>
            <w:r w:rsidR="00187CBD">
              <w:rPr>
                <w:noProof/>
                <w:webHidden/>
              </w:rPr>
              <w:tab/>
            </w:r>
            <w:r w:rsidR="00187CBD">
              <w:rPr>
                <w:noProof/>
                <w:webHidden/>
              </w:rPr>
              <w:fldChar w:fldCharType="begin"/>
            </w:r>
            <w:r w:rsidR="00187CBD">
              <w:rPr>
                <w:noProof/>
                <w:webHidden/>
              </w:rPr>
              <w:instrText xml:space="preserve"> PAGEREF _Toc192249830 \h </w:instrText>
            </w:r>
            <w:r w:rsidR="00187CBD">
              <w:rPr>
                <w:noProof/>
                <w:webHidden/>
              </w:rPr>
            </w:r>
            <w:r w:rsidR="00187CBD">
              <w:rPr>
                <w:noProof/>
                <w:webHidden/>
              </w:rPr>
              <w:fldChar w:fldCharType="separate"/>
            </w:r>
            <w:r w:rsidR="00187CBD">
              <w:rPr>
                <w:noProof/>
                <w:webHidden/>
              </w:rPr>
              <w:t>15</w:t>
            </w:r>
            <w:r w:rsidR="00187CBD">
              <w:rPr>
                <w:noProof/>
                <w:webHidden/>
              </w:rPr>
              <w:fldChar w:fldCharType="end"/>
            </w:r>
          </w:hyperlink>
        </w:p>
        <w:p w14:paraId="5551041A" w14:textId="3BA611CD" w:rsidR="00187CBD" w:rsidRDefault="001B260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192249831" w:history="1">
            <w:r w:rsidR="00187CBD" w:rsidRPr="00C7743D">
              <w:rPr>
                <w:rStyle w:val="Hipercze"/>
                <w:noProof/>
              </w:rPr>
              <w:t>V.</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Informacje z zakresu BHP dotyczące korzystania z symulatora</w:t>
            </w:r>
            <w:r w:rsidR="00187CBD">
              <w:rPr>
                <w:noProof/>
                <w:webHidden/>
              </w:rPr>
              <w:tab/>
            </w:r>
            <w:r w:rsidR="00187CBD">
              <w:rPr>
                <w:noProof/>
                <w:webHidden/>
              </w:rPr>
              <w:fldChar w:fldCharType="begin"/>
            </w:r>
            <w:r w:rsidR="00187CBD">
              <w:rPr>
                <w:noProof/>
                <w:webHidden/>
              </w:rPr>
              <w:instrText xml:space="preserve"> PAGEREF _Toc192249831 \h </w:instrText>
            </w:r>
            <w:r w:rsidR="00187CBD">
              <w:rPr>
                <w:noProof/>
                <w:webHidden/>
              </w:rPr>
            </w:r>
            <w:r w:rsidR="00187CBD">
              <w:rPr>
                <w:noProof/>
                <w:webHidden/>
              </w:rPr>
              <w:fldChar w:fldCharType="separate"/>
            </w:r>
            <w:r w:rsidR="00187CBD">
              <w:rPr>
                <w:noProof/>
                <w:webHidden/>
              </w:rPr>
              <w:t>16</w:t>
            </w:r>
            <w:r w:rsidR="00187CBD">
              <w:rPr>
                <w:noProof/>
                <w:webHidden/>
              </w:rPr>
              <w:fldChar w:fldCharType="end"/>
            </w:r>
          </w:hyperlink>
        </w:p>
        <w:p w14:paraId="201745A5" w14:textId="106C8A09"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2" w:history="1">
            <w:r w:rsidR="00187CBD" w:rsidRPr="00C7743D">
              <w:rPr>
                <w:rStyle w:val="Hipercze"/>
                <w:noProof/>
              </w:rPr>
              <w:t>VI.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Informacje o wdrożonych rozwiązaniach w zakresie przeciwdziałania / minimalizowania ryzyka występowania u użytkowników symulatora objawów tzw. choroby symulatorowej</w:t>
            </w:r>
            <w:r w:rsidR="00187CBD">
              <w:rPr>
                <w:noProof/>
                <w:webHidden/>
              </w:rPr>
              <w:tab/>
            </w:r>
            <w:r w:rsidR="00187CBD">
              <w:rPr>
                <w:noProof/>
                <w:webHidden/>
              </w:rPr>
              <w:fldChar w:fldCharType="begin"/>
            </w:r>
            <w:r w:rsidR="00187CBD">
              <w:rPr>
                <w:noProof/>
                <w:webHidden/>
              </w:rPr>
              <w:instrText xml:space="preserve"> PAGEREF _Toc192249832 \h </w:instrText>
            </w:r>
            <w:r w:rsidR="00187CBD">
              <w:rPr>
                <w:noProof/>
                <w:webHidden/>
              </w:rPr>
            </w:r>
            <w:r w:rsidR="00187CBD">
              <w:rPr>
                <w:noProof/>
                <w:webHidden/>
              </w:rPr>
              <w:fldChar w:fldCharType="separate"/>
            </w:r>
            <w:r w:rsidR="00187CBD">
              <w:rPr>
                <w:noProof/>
                <w:webHidden/>
              </w:rPr>
              <w:t>17</w:t>
            </w:r>
            <w:r w:rsidR="00187CBD">
              <w:rPr>
                <w:noProof/>
                <w:webHidden/>
              </w:rPr>
              <w:fldChar w:fldCharType="end"/>
            </w:r>
          </w:hyperlink>
        </w:p>
        <w:p w14:paraId="37D78982" w14:textId="01293272"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3" w:history="1">
            <w:r w:rsidR="00187CBD" w:rsidRPr="00C7743D">
              <w:rPr>
                <w:rStyle w:val="Hipercze"/>
                <w:noProof/>
              </w:rPr>
              <w:t>VII.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Informacje o wdrożonych rozwiązaniach w zakresie spełnienia przez symulator „Standardów dostępności dla polityki spójności 2021-2027”</w:t>
            </w:r>
            <w:r w:rsidR="00187CBD">
              <w:rPr>
                <w:noProof/>
                <w:webHidden/>
              </w:rPr>
              <w:tab/>
            </w:r>
            <w:r w:rsidR="00187CBD">
              <w:rPr>
                <w:noProof/>
                <w:webHidden/>
              </w:rPr>
              <w:fldChar w:fldCharType="begin"/>
            </w:r>
            <w:r w:rsidR="00187CBD">
              <w:rPr>
                <w:noProof/>
                <w:webHidden/>
              </w:rPr>
              <w:instrText xml:space="preserve"> PAGEREF _Toc192249833 \h </w:instrText>
            </w:r>
            <w:r w:rsidR="00187CBD">
              <w:rPr>
                <w:noProof/>
                <w:webHidden/>
              </w:rPr>
            </w:r>
            <w:r w:rsidR="00187CBD">
              <w:rPr>
                <w:noProof/>
                <w:webHidden/>
              </w:rPr>
              <w:fldChar w:fldCharType="separate"/>
            </w:r>
            <w:r w:rsidR="00187CBD">
              <w:rPr>
                <w:noProof/>
                <w:webHidden/>
              </w:rPr>
              <w:t>19</w:t>
            </w:r>
            <w:r w:rsidR="00187CBD">
              <w:rPr>
                <w:noProof/>
                <w:webHidden/>
              </w:rPr>
              <w:fldChar w:fldCharType="end"/>
            </w:r>
          </w:hyperlink>
        </w:p>
        <w:p w14:paraId="62C30D67" w14:textId="7EBCCB7C"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4" w:history="1">
            <w:r w:rsidR="00187CBD" w:rsidRPr="00C7743D">
              <w:rPr>
                <w:rStyle w:val="Hipercze"/>
                <w:noProof/>
              </w:rPr>
              <w:t>VIII.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Informacje o wdrożonych rozwiązaniach w zakresie uwzględnienia stosowania zasady „nie czyń poważnych szkód” środowisku (zasada DNSH)</w:t>
            </w:r>
            <w:r w:rsidR="00187CBD">
              <w:rPr>
                <w:noProof/>
                <w:webHidden/>
              </w:rPr>
              <w:tab/>
            </w:r>
            <w:r w:rsidR="00187CBD">
              <w:rPr>
                <w:noProof/>
                <w:webHidden/>
              </w:rPr>
              <w:fldChar w:fldCharType="begin"/>
            </w:r>
            <w:r w:rsidR="00187CBD">
              <w:rPr>
                <w:noProof/>
                <w:webHidden/>
              </w:rPr>
              <w:instrText xml:space="preserve"> PAGEREF _Toc192249834 \h </w:instrText>
            </w:r>
            <w:r w:rsidR="00187CBD">
              <w:rPr>
                <w:noProof/>
                <w:webHidden/>
              </w:rPr>
            </w:r>
            <w:r w:rsidR="00187CBD">
              <w:rPr>
                <w:noProof/>
                <w:webHidden/>
              </w:rPr>
              <w:fldChar w:fldCharType="separate"/>
            </w:r>
            <w:r w:rsidR="00187CBD">
              <w:rPr>
                <w:noProof/>
                <w:webHidden/>
              </w:rPr>
              <w:t>21</w:t>
            </w:r>
            <w:r w:rsidR="00187CBD">
              <w:rPr>
                <w:noProof/>
                <w:webHidden/>
              </w:rPr>
              <w:fldChar w:fldCharType="end"/>
            </w:r>
          </w:hyperlink>
        </w:p>
        <w:p w14:paraId="6FE605B3" w14:textId="7ED7BC52"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5" w:history="1">
            <w:r w:rsidR="00187CBD" w:rsidRPr="00C7743D">
              <w:rPr>
                <w:rStyle w:val="Hipercze"/>
                <w:noProof/>
              </w:rPr>
              <w:t>IX.</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Sterowanie</w:t>
            </w:r>
            <w:r w:rsidR="00187CBD">
              <w:rPr>
                <w:noProof/>
                <w:webHidden/>
              </w:rPr>
              <w:tab/>
            </w:r>
            <w:r w:rsidR="00187CBD">
              <w:rPr>
                <w:noProof/>
                <w:webHidden/>
              </w:rPr>
              <w:fldChar w:fldCharType="begin"/>
            </w:r>
            <w:r w:rsidR="00187CBD">
              <w:rPr>
                <w:noProof/>
                <w:webHidden/>
              </w:rPr>
              <w:instrText xml:space="preserve"> PAGEREF _Toc192249835 \h </w:instrText>
            </w:r>
            <w:r w:rsidR="00187CBD">
              <w:rPr>
                <w:noProof/>
                <w:webHidden/>
              </w:rPr>
            </w:r>
            <w:r w:rsidR="00187CBD">
              <w:rPr>
                <w:noProof/>
                <w:webHidden/>
              </w:rPr>
              <w:fldChar w:fldCharType="separate"/>
            </w:r>
            <w:r w:rsidR="00187CBD">
              <w:rPr>
                <w:noProof/>
                <w:webHidden/>
              </w:rPr>
              <w:t>22</w:t>
            </w:r>
            <w:r w:rsidR="00187CBD">
              <w:rPr>
                <w:noProof/>
                <w:webHidden/>
              </w:rPr>
              <w:fldChar w:fldCharType="end"/>
            </w:r>
          </w:hyperlink>
        </w:p>
        <w:p w14:paraId="6675A9B3" w14:textId="538138F3" w:rsidR="00187CBD" w:rsidRDefault="001B260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192249836" w:history="1">
            <w:r w:rsidR="00187CBD" w:rsidRPr="00C7743D">
              <w:rPr>
                <w:rStyle w:val="Hipercze"/>
                <w:noProof/>
              </w:rPr>
              <w:t>X.</w:t>
            </w:r>
            <w:r w:rsidR="00187CBD">
              <w:rPr>
                <w:rStyle w:val="Hipercze"/>
                <w:noProof/>
              </w:rPr>
              <w:t xml:space="preserve"> </w:t>
            </w:r>
            <w:r w:rsidR="00187CBD" w:rsidRPr="00C7743D">
              <w:rPr>
                <w:rStyle w:val="Hipercze"/>
                <w:noProof/>
              </w:rPr>
              <w:t>Ostrzeżenia</w:t>
            </w:r>
            <w:r w:rsidR="00187CBD">
              <w:rPr>
                <w:noProof/>
                <w:webHidden/>
              </w:rPr>
              <w:tab/>
            </w:r>
            <w:r w:rsidR="00187CBD">
              <w:rPr>
                <w:noProof/>
                <w:webHidden/>
              </w:rPr>
              <w:fldChar w:fldCharType="begin"/>
            </w:r>
            <w:r w:rsidR="00187CBD">
              <w:rPr>
                <w:noProof/>
                <w:webHidden/>
              </w:rPr>
              <w:instrText xml:space="preserve"> PAGEREF _Toc192249836 \h </w:instrText>
            </w:r>
            <w:r w:rsidR="00187CBD">
              <w:rPr>
                <w:noProof/>
                <w:webHidden/>
              </w:rPr>
            </w:r>
            <w:r w:rsidR="00187CBD">
              <w:rPr>
                <w:noProof/>
                <w:webHidden/>
              </w:rPr>
              <w:fldChar w:fldCharType="separate"/>
            </w:r>
            <w:r w:rsidR="00187CBD">
              <w:rPr>
                <w:noProof/>
                <w:webHidden/>
              </w:rPr>
              <w:t>24</w:t>
            </w:r>
            <w:r w:rsidR="00187CBD">
              <w:rPr>
                <w:noProof/>
                <w:webHidden/>
              </w:rPr>
              <w:fldChar w:fldCharType="end"/>
            </w:r>
          </w:hyperlink>
        </w:p>
        <w:p w14:paraId="4AFC13AA" w14:textId="0DC47B14"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7" w:history="1">
            <w:r w:rsidR="00187CBD" w:rsidRPr="00C7743D">
              <w:rPr>
                <w:rStyle w:val="Hipercze"/>
                <w:noProof/>
              </w:rPr>
              <w:t>XI.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Informacje wyświetlone podczas lotu</w:t>
            </w:r>
            <w:r w:rsidR="00187CBD">
              <w:rPr>
                <w:noProof/>
                <w:webHidden/>
              </w:rPr>
              <w:tab/>
            </w:r>
            <w:r w:rsidR="00187CBD">
              <w:rPr>
                <w:noProof/>
                <w:webHidden/>
              </w:rPr>
              <w:fldChar w:fldCharType="begin"/>
            </w:r>
            <w:r w:rsidR="00187CBD">
              <w:rPr>
                <w:noProof/>
                <w:webHidden/>
              </w:rPr>
              <w:instrText xml:space="preserve"> PAGEREF _Toc192249837 \h </w:instrText>
            </w:r>
            <w:r w:rsidR="00187CBD">
              <w:rPr>
                <w:noProof/>
                <w:webHidden/>
              </w:rPr>
            </w:r>
            <w:r w:rsidR="00187CBD">
              <w:rPr>
                <w:noProof/>
                <w:webHidden/>
              </w:rPr>
              <w:fldChar w:fldCharType="separate"/>
            </w:r>
            <w:r w:rsidR="00187CBD">
              <w:rPr>
                <w:noProof/>
                <w:webHidden/>
              </w:rPr>
              <w:t>25</w:t>
            </w:r>
            <w:r w:rsidR="00187CBD">
              <w:rPr>
                <w:noProof/>
                <w:webHidden/>
              </w:rPr>
              <w:fldChar w:fldCharType="end"/>
            </w:r>
          </w:hyperlink>
        </w:p>
        <w:p w14:paraId="438B4037" w14:textId="6850DCB3" w:rsidR="00187CBD" w:rsidRDefault="001B2606">
          <w:pPr>
            <w:pStyle w:val="Spistreci1"/>
            <w:tabs>
              <w:tab w:val="left" w:pos="480"/>
              <w:tab w:val="right" w:leader="dot" w:pos="9062"/>
            </w:tabs>
            <w:rPr>
              <w:rFonts w:asciiTheme="minorHAnsi" w:eastAsiaTheme="minorEastAsia" w:hAnsiTheme="minorHAnsi" w:cstheme="minorBidi"/>
              <w:noProof/>
              <w:kern w:val="2"/>
              <w:sz w:val="24"/>
              <w:szCs w:val="24"/>
              <w14:ligatures w14:val="standardContextual"/>
            </w:rPr>
          </w:pPr>
          <w:hyperlink w:anchor="_Toc192249838" w:history="1">
            <w:r w:rsidR="00187CBD" w:rsidRPr="00C7743D">
              <w:rPr>
                <w:rStyle w:val="Hipercze"/>
                <w:noProof/>
              </w:rPr>
              <w:t>XII.</w:t>
            </w:r>
            <w:r w:rsidR="00187CBD">
              <w:rPr>
                <w:rFonts w:asciiTheme="minorHAnsi" w:eastAsiaTheme="minorEastAsia" w:hAnsiTheme="minorHAnsi" w:cstheme="minorBidi"/>
                <w:noProof/>
                <w:kern w:val="2"/>
                <w:sz w:val="24"/>
                <w:szCs w:val="24"/>
                <w14:ligatures w14:val="standardContextual"/>
              </w:rPr>
              <w:t xml:space="preserve"> </w:t>
            </w:r>
            <w:r w:rsidR="00187CBD" w:rsidRPr="00C7743D">
              <w:rPr>
                <w:rStyle w:val="Hipercze"/>
                <w:noProof/>
              </w:rPr>
              <w:t>Komunikaty w sytuacjach niestandardowych</w:t>
            </w:r>
            <w:r w:rsidR="00187CBD">
              <w:rPr>
                <w:noProof/>
                <w:webHidden/>
              </w:rPr>
              <w:tab/>
            </w:r>
            <w:r w:rsidR="00187CBD">
              <w:rPr>
                <w:noProof/>
                <w:webHidden/>
              </w:rPr>
              <w:fldChar w:fldCharType="begin"/>
            </w:r>
            <w:r w:rsidR="00187CBD">
              <w:rPr>
                <w:noProof/>
                <w:webHidden/>
              </w:rPr>
              <w:instrText xml:space="preserve"> PAGEREF _Toc192249838 \h </w:instrText>
            </w:r>
            <w:r w:rsidR="00187CBD">
              <w:rPr>
                <w:noProof/>
                <w:webHidden/>
              </w:rPr>
            </w:r>
            <w:r w:rsidR="00187CBD">
              <w:rPr>
                <w:noProof/>
                <w:webHidden/>
              </w:rPr>
              <w:fldChar w:fldCharType="separate"/>
            </w:r>
            <w:r w:rsidR="00187CBD">
              <w:rPr>
                <w:noProof/>
                <w:webHidden/>
              </w:rPr>
              <w:t>25</w:t>
            </w:r>
            <w:r w:rsidR="00187CBD">
              <w:rPr>
                <w:noProof/>
                <w:webHidden/>
              </w:rPr>
              <w:fldChar w:fldCharType="end"/>
            </w:r>
          </w:hyperlink>
        </w:p>
        <w:p w14:paraId="57BA4417" w14:textId="502B678E" w:rsidR="007A5461" w:rsidRDefault="007A5461" w:rsidP="007A5461">
          <w:pPr>
            <w:ind w:left="0"/>
          </w:pPr>
          <w:r>
            <w:rPr>
              <w:b/>
              <w:bCs/>
            </w:rPr>
            <w:fldChar w:fldCharType="end"/>
          </w:r>
        </w:p>
      </w:sdtContent>
    </w:sdt>
    <w:p w14:paraId="3C382682" w14:textId="1BBB154E" w:rsidR="003467F6" w:rsidRDefault="00C61E14" w:rsidP="007A5461">
      <w:pPr>
        <w:pStyle w:val="Nagwek1"/>
        <w:numPr>
          <w:ilvl w:val="0"/>
          <w:numId w:val="11"/>
        </w:numPr>
        <w:shd w:val="clear" w:color="auto" w:fill="D0CECE"/>
        <w:spacing w:before="200" w:after="200"/>
        <w:ind w:left="0" w:hanging="426"/>
        <w:rPr>
          <w:color w:val="000000"/>
          <w:sz w:val="28"/>
          <w:szCs w:val="28"/>
        </w:rPr>
      </w:pPr>
      <w:bookmarkStart w:id="0" w:name="_heading=h.bzz5ahp5duzo" w:colFirst="0" w:colLast="0"/>
      <w:bookmarkStart w:id="1" w:name="_Toc192249827"/>
      <w:bookmarkEnd w:id="0"/>
      <w:r>
        <w:rPr>
          <w:caps w:val="0"/>
          <w:color w:val="000000"/>
          <w:sz w:val="28"/>
          <w:szCs w:val="28"/>
        </w:rPr>
        <w:t>Opis budowy symulatora</w:t>
      </w:r>
      <w:bookmarkEnd w:id="1"/>
      <w:r>
        <w:rPr>
          <w:caps w:val="0"/>
          <w:color w:val="000000"/>
          <w:sz w:val="28"/>
          <w:szCs w:val="28"/>
        </w:rPr>
        <w:t xml:space="preserve"> </w:t>
      </w:r>
    </w:p>
    <w:p w14:paraId="512A17C0" w14:textId="77777777" w:rsidR="003467F6" w:rsidRDefault="00E13EF0">
      <w:pPr>
        <w:numPr>
          <w:ilvl w:val="0"/>
          <w:numId w:val="14"/>
        </w:numPr>
        <w:rPr>
          <w:rFonts w:ascii="Times New Roman" w:eastAsia="Times New Roman" w:hAnsi="Times New Roman" w:cs="Times New Roman"/>
        </w:rPr>
      </w:pPr>
      <w:r>
        <w:t>Wirtualny symulator pilotażu bezzałogowych statków powietrznych (BSP) stanowi zaawansowane rozwiązanie dydaktyczne składające się z precyzyjnie dobranej infrastruktury sprzętowej oraz dedykowanego oprogramowania specjalistycznego, które w synergicznym połączeniu kreują immersyjne środowisko szkoleniowe bazujące na technologii wirtualnej rzeczywistości, zoptymalizowane pod kątem efektywnego transferu kompetencji operatorskich.</w:t>
      </w:r>
    </w:p>
    <w:p w14:paraId="56DE0860" w14:textId="77777777" w:rsidR="003467F6" w:rsidRDefault="00E13EF0">
      <w:pPr>
        <w:numPr>
          <w:ilvl w:val="0"/>
          <w:numId w:val="14"/>
        </w:numPr>
      </w:pPr>
      <w:r>
        <w:t>Symulator został zaprojektowany jako narzędzie dydaktyczne zawierające celowe uproszczenia, którego głównym zadaniem jest zaznajomienie uczestników ze specyfiką pracy jako operator bezzałogowego statku powietrznego (BSP). Aplikacja koncentruje się na edukacyjnych aspektach pilotażu, umożliwiając bezpieczne szkolenie bez ryzyka uszkodzenia rzeczywistego sprzętu.</w:t>
      </w:r>
    </w:p>
    <w:p w14:paraId="1EF42CBC" w14:textId="77777777" w:rsidR="003467F6" w:rsidRDefault="00E13EF0">
      <w:pPr>
        <w:numPr>
          <w:ilvl w:val="0"/>
          <w:numId w:val="14"/>
        </w:numPr>
      </w:pPr>
      <w:r>
        <w:t>Architektura systemu symulatora obejmuje następujące komponenty funkcjonalne:</w:t>
      </w:r>
    </w:p>
    <w:p w14:paraId="1864E451" w14:textId="09C6B522" w:rsidR="003467F6" w:rsidRDefault="00A27B29">
      <w:pPr>
        <w:numPr>
          <w:ilvl w:val="1"/>
          <w:numId w:val="14"/>
        </w:numPr>
        <w:ind w:hanging="360"/>
      </w:pPr>
      <w:r>
        <w:t>oprogramowanie sterujące symulatorem z interfejsem instruktora pozwalającym na modyfikację parametrów symulacji w czasie rzeczywistym wraz z systemem zarządzania scenariuszami z biblioteką gotowych misji szkoleniowych;</w:t>
      </w:r>
    </w:p>
    <w:p w14:paraId="7197BDDB" w14:textId="7FAF9B17" w:rsidR="003467F6" w:rsidRDefault="00A27B29">
      <w:pPr>
        <w:numPr>
          <w:ilvl w:val="1"/>
          <w:numId w:val="14"/>
        </w:numPr>
        <w:ind w:hanging="360"/>
      </w:pPr>
      <w:r>
        <w:t>sprzęt techniczny, wykazany poniżej.</w:t>
      </w:r>
    </w:p>
    <w:p w14:paraId="655B70DE" w14:textId="7C3ACD65" w:rsidR="003467F6" w:rsidRDefault="00E13EF0">
      <w:pPr>
        <w:numPr>
          <w:ilvl w:val="0"/>
          <w:numId w:val="14"/>
        </w:numPr>
      </w:pPr>
      <w:r>
        <w:t xml:space="preserve">Symulator </w:t>
      </w:r>
      <w:r w:rsidR="00450F11">
        <w:t xml:space="preserve">może </w:t>
      </w:r>
      <w:r>
        <w:t>wykorzyst</w:t>
      </w:r>
      <w:r w:rsidR="00450F11">
        <w:t>ywać</w:t>
      </w:r>
      <w:r>
        <w:t xml:space="preserve"> bezprzewodowe połączenie pomiędzy goglami VR a komputerami za pomocą technologii Wi-Fi 6, co zapewnia swobodę ruchu i eliminuje ryzyko potknięcia o przewody.</w:t>
      </w:r>
    </w:p>
    <w:p w14:paraId="0005EDA9" w14:textId="77777777" w:rsidR="003467F6" w:rsidRDefault="00E13EF0">
      <w:pPr>
        <w:numPr>
          <w:ilvl w:val="0"/>
          <w:numId w:val="14"/>
        </w:numPr>
      </w:pPr>
      <w:r>
        <w:lastRenderedPageBreak/>
        <w:t>Wykaz sprzętu technicznego wchodzącego w skład symulatora:</w:t>
      </w:r>
    </w:p>
    <w:p w14:paraId="7E7B2D47" w14:textId="6D2D98F1" w:rsidR="003467F6" w:rsidRDefault="00A27B29">
      <w:pPr>
        <w:numPr>
          <w:ilvl w:val="1"/>
          <w:numId w:val="14"/>
        </w:numPr>
        <w:ind w:hanging="360"/>
      </w:pPr>
      <w:r>
        <w:t>Laptop Lenovo Legion (3 szt.);</w:t>
      </w:r>
    </w:p>
    <w:p w14:paraId="56850889" w14:textId="6B1E0880" w:rsidR="003467F6" w:rsidRDefault="00A27B29">
      <w:pPr>
        <w:numPr>
          <w:ilvl w:val="2"/>
          <w:numId w:val="14"/>
        </w:numPr>
      </w:pPr>
      <w:r>
        <w:t xml:space="preserve">procesor: AMD </w:t>
      </w:r>
      <w:proofErr w:type="spellStart"/>
      <w:r>
        <w:t>Ryzen</w:t>
      </w:r>
      <w:proofErr w:type="spellEnd"/>
      <w:r>
        <w:t xml:space="preserve"> 9 7945HX;</w:t>
      </w:r>
    </w:p>
    <w:p w14:paraId="48A54E41" w14:textId="7790F285" w:rsidR="003467F6" w:rsidRDefault="00A27B29">
      <w:pPr>
        <w:numPr>
          <w:ilvl w:val="2"/>
          <w:numId w:val="14"/>
        </w:numPr>
      </w:pPr>
      <w:r>
        <w:t>karta graficzna: RTX 4070;</w:t>
      </w:r>
    </w:p>
    <w:p w14:paraId="08B7EF54" w14:textId="48485611" w:rsidR="003467F6" w:rsidRDefault="00A27B29">
      <w:pPr>
        <w:numPr>
          <w:ilvl w:val="2"/>
          <w:numId w:val="14"/>
        </w:numPr>
      </w:pPr>
      <w:r>
        <w:t>pamięć RAM: 32 GB;</w:t>
      </w:r>
    </w:p>
    <w:p w14:paraId="13652995" w14:textId="0B9A190D" w:rsidR="003467F6" w:rsidRDefault="00A27B29">
      <w:pPr>
        <w:numPr>
          <w:ilvl w:val="2"/>
          <w:numId w:val="14"/>
        </w:numPr>
      </w:pPr>
      <w:r>
        <w:t>pojemność dyskowa: 1 TB;</w:t>
      </w:r>
    </w:p>
    <w:p w14:paraId="2AF8F838" w14:textId="0C9F098B" w:rsidR="003467F6" w:rsidRDefault="00A27B29">
      <w:pPr>
        <w:numPr>
          <w:ilvl w:val="1"/>
          <w:numId w:val="14"/>
        </w:numPr>
        <w:ind w:hanging="360"/>
      </w:pPr>
      <w:r>
        <w:t>Gogle VR: Meta Quest 3 wraz z kontrolerami haptycznymi (3 szt.);</w:t>
      </w:r>
    </w:p>
    <w:p w14:paraId="2C5753F0" w14:textId="77BCB758" w:rsidR="003467F6" w:rsidRDefault="00A27B29">
      <w:pPr>
        <w:numPr>
          <w:ilvl w:val="1"/>
          <w:numId w:val="14"/>
        </w:numPr>
        <w:ind w:hanging="360"/>
      </w:pPr>
      <w:r>
        <w:t>Okablowanie do powyższego sprzętu.</w:t>
      </w:r>
    </w:p>
    <w:p w14:paraId="2D3BDEA1" w14:textId="359EAD13" w:rsidR="003467F6" w:rsidRDefault="00E13EF0">
      <w:pPr>
        <w:numPr>
          <w:ilvl w:val="0"/>
          <w:numId w:val="14"/>
        </w:numPr>
      </w:pPr>
      <w:r>
        <w:t>Symulator został zbudowany w oparciu o silnik Unity Engine, zapewniający stabilność działania, szeroki zakres funkcjonalności oraz kompatybilność z różnorodnymi systemami i urządzeniami</w:t>
      </w:r>
      <w:r w:rsidR="00A27B29">
        <w:t>.</w:t>
      </w:r>
    </w:p>
    <w:p w14:paraId="6CD8820E" w14:textId="77777777" w:rsidR="003467F6" w:rsidRDefault="00E13EF0">
      <w:pPr>
        <w:numPr>
          <w:ilvl w:val="0"/>
          <w:numId w:val="14"/>
        </w:numPr>
      </w:pPr>
      <w:r>
        <w:t>Architektura oprogramowania została zaprojektowana w sposób modularny, umożliwiający:</w:t>
      </w:r>
    </w:p>
    <w:p w14:paraId="49023C6F" w14:textId="77777777" w:rsidR="003467F6" w:rsidRDefault="00E13EF0">
      <w:pPr>
        <w:numPr>
          <w:ilvl w:val="1"/>
          <w:numId w:val="14"/>
        </w:numPr>
        <w:ind w:hanging="360"/>
      </w:pPr>
      <w:r>
        <w:t>Łatwą rozbudowę o dodatkowe scenariusze szkoleniowe;</w:t>
      </w:r>
    </w:p>
    <w:p w14:paraId="75D55725" w14:textId="77777777" w:rsidR="003467F6" w:rsidRDefault="00E13EF0">
      <w:pPr>
        <w:numPr>
          <w:ilvl w:val="1"/>
          <w:numId w:val="14"/>
        </w:numPr>
        <w:ind w:hanging="360"/>
      </w:pPr>
      <w:r>
        <w:t>Elastyczną modyfikację istniejących elementów symulatora;</w:t>
      </w:r>
    </w:p>
    <w:p w14:paraId="147D2B11" w14:textId="77777777" w:rsidR="003467F6" w:rsidRDefault="00E13EF0">
      <w:pPr>
        <w:numPr>
          <w:ilvl w:val="1"/>
          <w:numId w:val="14"/>
        </w:numPr>
        <w:ind w:hanging="360"/>
      </w:pPr>
      <w:r>
        <w:t>Integrację nowych modeli dronów i środowisk symulacyjnych;</w:t>
      </w:r>
    </w:p>
    <w:p w14:paraId="20E9F223" w14:textId="15FF708D" w:rsidR="003467F6" w:rsidRDefault="00E13EF0">
      <w:pPr>
        <w:numPr>
          <w:ilvl w:val="1"/>
          <w:numId w:val="14"/>
        </w:numPr>
        <w:ind w:hanging="360"/>
      </w:pPr>
      <w:r>
        <w:t>Aktualizację poszczególnych modułów bez konieczności ingerencji w cały system</w:t>
      </w:r>
      <w:r w:rsidR="00A27B29">
        <w:t>.</w:t>
      </w:r>
    </w:p>
    <w:p w14:paraId="49FADCB7" w14:textId="6B13CB90" w:rsidR="003467F6" w:rsidRDefault="00E13EF0">
      <w:pPr>
        <w:numPr>
          <w:ilvl w:val="0"/>
          <w:numId w:val="14"/>
        </w:numPr>
      </w:pPr>
      <w:r>
        <w:t>Wykorzystanie popularnego silnika Unity dodatkowo ułatwia potencjalną dalszą modyfikację symulatora przez zespoły programistyczne posiadające doświadczenie z tą technologią</w:t>
      </w:r>
      <w:r w:rsidR="00A27B29">
        <w:t>.</w:t>
      </w:r>
    </w:p>
    <w:p w14:paraId="37F23491" w14:textId="0F96D3A1" w:rsidR="003467F6" w:rsidRDefault="00E13EF0" w:rsidP="005B1202">
      <w:pPr>
        <w:numPr>
          <w:ilvl w:val="0"/>
          <w:numId w:val="14"/>
        </w:numPr>
        <w:spacing w:after="360"/>
        <w:ind w:left="278" w:hanging="357"/>
      </w:pPr>
      <w:r>
        <w:t>Struktura kodu źródłowego zapewnia długoterminową wartość i użyteczność rozwiązania poprzez możliwość dostosowania do zmieniających się potrzeb edukacyjnych.</w:t>
      </w:r>
    </w:p>
    <w:p w14:paraId="61D78194" w14:textId="77777777" w:rsidR="003467F6" w:rsidRPr="00C61E14" w:rsidRDefault="00E13EF0" w:rsidP="00C61E14">
      <w:pPr>
        <w:pStyle w:val="Nagwek1"/>
        <w:numPr>
          <w:ilvl w:val="0"/>
          <w:numId w:val="11"/>
        </w:numPr>
        <w:shd w:val="clear" w:color="auto" w:fill="D0CECE"/>
        <w:spacing w:before="200" w:after="200"/>
        <w:ind w:left="0" w:hanging="426"/>
        <w:rPr>
          <w:caps w:val="0"/>
          <w:color w:val="000000"/>
          <w:sz w:val="28"/>
          <w:szCs w:val="28"/>
        </w:rPr>
      </w:pPr>
      <w:bookmarkStart w:id="2" w:name="_Toc192249828"/>
      <w:r w:rsidRPr="00C61E14">
        <w:rPr>
          <w:caps w:val="0"/>
          <w:color w:val="000000"/>
          <w:sz w:val="28"/>
          <w:szCs w:val="28"/>
        </w:rPr>
        <w:lastRenderedPageBreak/>
        <w:t>Korzystanie z symulatora przez instruktora (personel dydaktyczny)</w:t>
      </w:r>
      <w:bookmarkEnd w:id="2"/>
    </w:p>
    <w:p w14:paraId="239301FB" w14:textId="77777777" w:rsidR="003467F6" w:rsidRDefault="00E13EF0">
      <w:pPr>
        <w:numPr>
          <w:ilvl w:val="0"/>
          <w:numId w:val="4"/>
        </w:numPr>
        <w:rPr>
          <w:rFonts w:ascii="Times New Roman" w:eastAsia="Times New Roman" w:hAnsi="Times New Roman" w:cs="Times New Roman"/>
        </w:rPr>
      </w:pPr>
      <w:r>
        <w:t>Przed rozpoczęciem zajęć instruktor powinien uruchomić system symulacyjny poprzez włączenie głównej stacji roboczej oraz zalogowanie się do systemu operacyjnego.</w:t>
      </w:r>
    </w:p>
    <w:p w14:paraId="59BFAD49" w14:textId="77777777" w:rsidR="003467F6" w:rsidRDefault="00E13EF0" w:rsidP="000D7FB5">
      <w:pPr>
        <w:numPr>
          <w:ilvl w:val="0"/>
          <w:numId w:val="4"/>
        </w:numPr>
        <w:spacing w:after="0"/>
        <w:ind w:left="278" w:hanging="357"/>
      </w:pPr>
      <w:r>
        <w:t>Po uruchomieniu systemu należy przeprowadzić szybką kontrolę połączenia wszystkich stanowisk uczestników.</w:t>
      </w:r>
    </w:p>
    <w:tbl>
      <w:tblPr>
        <w:tblStyle w:val="a"/>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3467F6" w14:paraId="07409A1E" w14:textId="77777777" w:rsidTr="000D7FB5">
        <w:trPr>
          <w:trHeight w:val="786"/>
        </w:trPr>
        <w:tc>
          <w:tcPr>
            <w:tcW w:w="9072" w:type="dxa"/>
            <w:tcBorders>
              <w:top w:val="nil"/>
              <w:left w:val="nil"/>
              <w:bottom w:val="nil"/>
              <w:right w:val="nil"/>
            </w:tcBorders>
            <w:shd w:val="clear" w:color="auto" w:fill="auto"/>
            <w:tcMar>
              <w:top w:w="100" w:type="dxa"/>
              <w:left w:w="100" w:type="dxa"/>
              <w:bottom w:w="100" w:type="dxa"/>
              <w:right w:w="100" w:type="dxa"/>
            </w:tcMar>
          </w:tcPr>
          <w:sdt>
            <w:sdtPr>
              <w:tag w:val="goog_rdk_0"/>
              <w:id w:val="223265896"/>
              <w:lock w:val="contentLocked"/>
            </w:sdtPr>
            <w:sdtEndPr/>
            <w:sdtContent>
              <w:p w14:paraId="29679EB7" w14:textId="77777777" w:rsidR="003467F6" w:rsidRDefault="00E13EF0">
                <w:pPr>
                  <w:ind w:left="0"/>
                  <w:rPr>
                    <w:sz w:val="22"/>
                    <w:szCs w:val="22"/>
                  </w:rPr>
                </w:pPr>
                <w:r>
                  <w:rPr>
                    <w:b/>
                    <w:noProof/>
                    <w:sz w:val="22"/>
                    <w:szCs w:val="22"/>
                  </w:rPr>
                  <w:drawing>
                    <wp:inline distT="114300" distB="114300" distL="114300" distR="114300" wp14:anchorId="01A50C1E" wp14:editId="33CE8502">
                      <wp:extent cx="5619750" cy="3492500"/>
                      <wp:effectExtent l="12700" t="12700" r="12700" b="12700"/>
                      <wp:docPr id="2069789014" name="image3.png" descr="Ekran startowy symulatora Akademii Łazarskiego na niebieskim tle. W lewym górnym rogu znajdują się dwa przyciski wyboru języka: &quot;Polski / Polish&quot; oraz &quot;English / Angielski&quot;. Na środku ekranu widnieje logo Łazarski Aviation Academy przedstawiające kulę ziemską z napisem &quot;ŁAZARSKI&quot; na środku oraz napisami &quot;AVIATION&quot; na górze i &quot;ACADEMY&quot; na dole, w białym kolorze na niebieskim tle. Poniżej logo znajdują się cztery przyciski: zielony &quot;Uruchom symulator&quot;, żółty &quot;Odtwórz nagranie z rejestru&quot;, biały &quot;Otwórz folder z wynikami&quot; oraz czerwony &quot;Wyłącz aplikację&quot;. Na dole ekranu widoczne są logotypy: Fundusze Europejskie dla Rozwoju Społecznego, flaga Polski z napisem &quot;Rzeczpospolita Polska&quot;, flaga Unii Europejskiej z informacją &quot;Dofinansowane przez Unię Europejską&quot; oraz logo firmy Overbuilt z informacją &quot;Symulator opracowany przez Overbuilt S.A.&quot;."/>
                      <wp:cNvGraphicFramePr/>
                      <a:graphic xmlns:a="http://schemas.openxmlformats.org/drawingml/2006/main">
                        <a:graphicData uri="http://schemas.openxmlformats.org/drawingml/2006/picture">
                          <pic:pic xmlns:pic="http://schemas.openxmlformats.org/drawingml/2006/picture">
                            <pic:nvPicPr>
                              <pic:cNvPr id="0" name="image3.png" descr="Ekran startowy symulatora Akademii Łazarskiego na niebieskim tle. W lewym górnym rogu znajdują się dwa przyciski wyboru języka: &quot;Polski / Polish&quot; oraz &quot;English / Angielski&quot;. Na środku ekranu widnieje logo Łazarski Aviation Academy przedstawiające kulę ziemską z napisem &quot;ŁAZARSKI&quot; na środku oraz napisami &quot;AVIATION&quot; na górze i &quot;ACADEMY&quot; na dole, w białym kolorze na niebieskim tle. Poniżej logo znajdują się cztery przyciski: zielony &quot;Uruchom symulator&quot;, żółty &quot;Odtwórz nagranie z rejestru&quot;, biały &quot;Otwórz folder z wynikami&quot; oraz czerwony &quot;Wyłącz aplikację&quot;. Na dole ekranu widoczne są logotypy: Fundusze Europejskie dla Rozwoju Społecznego, flaga Polski z napisem &quot;Rzeczpospolita Polska&quot;, flaga Unii Europejskiej z informacją &quot;Dofinansowane przez Unię Europejską&quot; oraz logo firmy Overbuilt z informacją &quot;Symulator opracowany przez Overbuilt S.A.&quot;."/>
                              <pic:cNvPicPr preferRelativeResize="0"/>
                            </pic:nvPicPr>
                            <pic:blipFill>
                              <a:blip r:embed="rId9"/>
                              <a:srcRect/>
                              <a:stretch>
                                <a:fillRect/>
                              </a:stretch>
                            </pic:blipFill>
                            <pic:spPr>
                              <a:xfrm>
                                <a:off x="0" y="0"/>
                                <a:ext cx="5619750" cy="3492500"/>
                              </a:xfrm>
                              <a:prstGeom prst="rect">
                                <a:avLst/>
                              </a:prstGeom>
                              <a:ln w="12700">
                                <a:solidFill>
                                  <a:srgbClr val="000000"/>
                                </a:solidFill>
                                <a:prstDash val="solid"/>
                              </a:ln>
                            </pic:spPr>
                          </pic:pic>
                        </a:graphicData>
                      </a:graphic>
                    </wp:inline>
                  </w:drawing>
                </w:r>
                <w:r>
                  <w:rPr>
                    <w:b/>
                    <w:sz w:val="22"/>
                    <w:szCs w:val="22"/>
                  </w:rPr>
                  <w:t>Rys 2-1.</w:t>
                </w:r>
                <w:r>
                  <w:rPr>
                    <w:sz w:val="22"/>
                    <w:szCs w:val="22"/>
                  </w:rPr>
                  <w:t xml:space="preserve"> Ekran startowy symulatora Akademii Łazarskiego na niebieskim tle. W lewym górnym rogu znajdują się dwa przyciski wyboru języka: "Polski / Polish" oraz "English / Angielski". Na środku ekranu widnieje logo Łazarski Aviation Academy przedstawiające kulę ziemską z napisem "ŁAZARSKI" na środku oraz napisami "AVIATION" na górze i "ACADEMY" na dole, w białym kolorze na niebieskim tle. Poniżej logo znajdują się cztery przyciski: zielony "Uruchom symulator", żółty "Odtwórz nagranie z rejestru", biały "Otwórz folder z wynikami" oraz czerwony "Wyłącz aplikację". Na dole ekranu widoczne są logotypy: Fundusze Europejskie dla Rozwoju Społecznego, flaga Polski z napisem "Rzeczpospolita Polska", flaga Unii Europejskiej z informacją "Dofinansowane przez Unię Europejską" oraz logo firmy Overbuilt z informacją "Symulator opracowany przez Overbuilt S.A.".</w:t>
                </w:r>
              </w:p>
            </w:sdtContent>
          </w:sdt>
        </w:tc>
      </w:tr>
    </w:tbl>
    <w:p w14:paraId="546516E3" w14:textId="77777777" w:rsidR="003467F6" w:rsidRDefault="00E13EF0">
      <w:pPr>
        <w:numPr>
          <w:ilvl w:val="0"/>
          <w:numId w:val="4"/>
        </w:numPr>
      </w:pPr>
      <w:r>
        <w:t>Po uruchomieniu aplikacji symulatora, po krótkim ładowaniu na ekranie laptopa powinno pojawić się menu główne (Rys. 2-1), z którego poziomu instruktor może:</w:t>
      </w:r>
    </w:p>
    <w:p w14:paraId="452BDFD3" w14:textId="77777777" w:rsidR="003467F6" w:rsidRDefault="00E13EF0">
      <w:pPr>
        <w:numPr>
          <w:ilvl w:val="1"/>
          <w:numId w:val="4"/>
        </w:numPr>
        <w:ind w:hanging="360"/>
      </w:pPr>
      <w:r>
        <w:t>Uruchomić tryb symulatora;</w:t>
      </w:r>
    </w:p>
    <w:tbl>
      <w:tblPr>
        <w:tblStyle w:val="a0"/>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3467F6" w14:paraId="2A098CFB" w14:textId="77777777">
        <w:tc>
          <w:tcPr>
            <w:tcW w:w="9072" w:type="dxa"/>
            <w:tcBorders>
              <w:top w:val="nil"/>
              <w:left w:val="nil"/>
              <w:bottom w:val="nil"/>
              <w:right w:val="nil"/>
            </w:tcBorders>
            <w:shd w:val="clear" w:color="auto" w:fill="auto"/>
            <w:tcMar>
              <w:top w:w="100" w:type="dxa"/>
              <w:left w:w="100" w:type="dxa"/>
              <w:bottom w:w="100" w:type="dxa"/>
              <w:right w:w="100" w:type="dxa"/>
            </w:tcMar>
          </w:tcPr>
          <w:sdt>
            <w:sdtPr>
              <w:tag w:val="goog_rdk_1"/>
              <w:id w:val="756403355"/>
              <w:lock w:val="contentLocked"/>
            </w:sdtPr>
            <w:sdtEndPr/>
            <w:sdtContent>
              <w:p w14:paraId="3F3687EE" w14:textId="77777777" w:rsidR="003467F6" w:rsidRDefault="00E13EF0">
                <w:pPr>
                  <w:widowControl w:val="0"/>
                  <w:pBdr>
                    <w:top w:val="nil"/>
                    <w:left w:val="nil"/>
                    <w:bottom w:val="nil"/>
                    <w:right w:val="nil"/>
                    <w:between w:val="nil"/>
                  </w:pBdr>
                  <w:spacing w:before="0" w:after="0" w:line="240" w:lineRule="auto"/>
                  <w:ind w:left="0"/>
                </w:pPr>
                <w:r>
                  <w:rPr>
                    <w:noProof/>
                  </w:rPr>
                  <w:drawing>
                    <wp:inline distT="114300" distB="114300" distL="114300" distR="114300" wp14:anchorId="14D17AB7" wp14:editId="435D8D6B">
                      <wp:extent cx="5619750" cy="3505200"/>
                      <wp:effectExtent l="0" t="0" r="0" b="0"/>
                      <wp:docPr id="2069789021" name="image4.png" descr="Interfejs symulatora na niebieskim tle. U góry znajduje się pięć zielonych przycisków z napisami: &quot;Test wstępny&quot;, &quot;Scenariusz #1 Plac manewrowy&quot;, &quot;Scenariusz #2 Akcja poszukiwawcza&quot;, &quot;Scenariusz #3 Transport powietrzny&quot; oraz &quot;Test końcowy&quot;. Na środku ekranu widnieje napis &quot;Wprowadź imię i nazwisko uczestnika:&quot; z polem tekstowym, które zawiera podpowiedź &quot;Kliknij tutaj, aby wpisać imie oraz nazwisko...&quot;. Na dole ekranu znajdują się dwa przyciski: zielony z napisem &quot;Uruchom symulator&quot; oraz czerwony z napisem &quot;Wstecz&quot;. Jest to prawdopodobnie ekran startowy symulatora szkoleniowego z różnymi scenariuszami ćwiczeń."/>
                      <wp:cNvGraphicFramePr/>
                      <a:graphic xmlns:a="http://schemas.openxmlformats.org/drawingml/2006/main">
                        <a:graphicData uri="http://schemas.openxmlformats.org/drawingml/2006/picture">
                          <pic:pic xmlns:pic="http://schemas.openxmlformats.org/drawingml/2006/picture">
                            <pic:nvPicPr>
                              <pic:cNvPr id="0" name="image4.png" descr="Interfejs symulatora na niebieskim tle. U góry znajduje się pięć zielonych przycisków z napisami: &quot;Test wstępny&quot;, &quot;Scenariusz #1 Plac manewrowy&quot;, &quot;Scenariusz #2 Akcja poszukiwawcza&quot;, &quot;Scenariusz #3 Transport powietrzny&quot; oraz &quot;Test końcowy&quot;. Na środku ekranu widnieje napis &quot;Wprowadź imię i nazwisko uczestnika:&quot; z polem tekstowym, które zawiera podpowiedź &quot;Kliknij tutaj, aby wpisać imie oraz nazwisko...&quot;. Na dole ekranu znajdują się dwa przyciski: zielony z napisem &quot;Uruchom symulator&quot; oraz czerwony z napisem &quot;Wstecz&quot;. Jest to prawdopodobnie ekran startowy symulatora szkoleniowego z różnymi scenariuszami ćwiczeń."/>
                              <pic:cNvPicPr preferRelativeResize="0"/>
                            </pic:nvPicPr>
                            <pic:blipFill>
                              <a:blip r:embed="rId10"/>
                              <a:srcRect/>
                              <a:stretch>
                                <a:fillRect/>
                              </a:stretch>
                            </pic:blipFill>
                            <pic:spPr>
                              <a:xfrm>
                                <a:off x="0" y="0"/>
                                <a:ext cx="5619750" cy="3505200"/>
                              </a:xfrm>
                              <a:prstGeom prst="rect">
                                <a:avLst/>
                              </a:prstGeom>
                              <a:ln/>
                            </pic:spPr>
                          </pic:pic>
                        </a:graphicData>
                      </a:graphic>
                    </wp:inline>
                  </w:drawing>
                </w:r>
              </w:p>
            </w:sdtContent>
          </w:sdt>
        </w:tc>
      </w:tr>
    </w:tbl>
    <w:p w14:paraId="4B7232A7" w14:textId="77777777" w:rsidR="003467F6" w:rsidRDefault="00E13EF0">
      <w:pPr>
        <w:ind w:left="0"/>
      </w:pPr>
      <w:r>
        <w:rPr>
          <w:b/>
          <w:sz w:val="22"/>
          <w:szCs w:val="22"/>
        </w:rPr>
        <w:t>Rys 2-2.</w:t>
      </w:r>
      <w:r>
        <w:rPr>
          <w:sz w:val="22"/>
          <w:szCs w:val="22"/>
        </w:rPr>
        <w:t xml:space="preserve"> Interfejs symulatora na niebieskim tle. U góry znajduje się pięć zielonych przycisków z napisami: "Test wstępny", "Scenariusz #1 Plac manewrowy", "Scenariusz #2 Akcja poszukiwawcza", "Scenariusz #3 Transport powietrzny" oraz "Test końcowy". Na środku ekranu widnieje napis "Wprowadź imię i nazwisko uczestnika:" z polem tekstowym, które zawiera podpowiedź "Kliknij tutaj, aby wpisać imię oraz nazwisko...". Na dole ekranu znajdują się dwa przyciski: zielony z napisem "Uruchom symulator" oraz czerwony z napisem "Wstecz". Jest to prawdopodobnie ekran startowy symulatora szkoleniowego z różnymi scenariuszami ćwiczeń.</w:t>
      </w:r>
    </w:p>
    <w:p w14:paraId="770E16B8" w14:textId="19D79244" w:rsidR="003467F6" w:rsidRDefault="00E13EF0">
      <w:pPr>
        <w:numPr>
          <w:ilvl w:val="2"/>
          <w:numId w:val="4"/>
        </w:numPr>
      </w:pPr>
      <w:r>
        <w:t>Uruchomienie trybu symulatora tworzy nowy panel, z którego instruktor może wybrać scenariusz, który ma zostać uruchomiony, a także skonfigurować jego parametry, jeśli taka opcja jest przewidziana dla danego scenariusza.</w:t>
      </w:r>
    </w:p>
    <w:p w14:paraId="728A79D1" w14:textId="77777777" w:rsidR="003467F6" w:rsidRDefault="00E13EF0">
      <w:pPr>
        <w:numPr>
          <w:ilvl w:val="1"/>
          <w:numId w:val="4"/>
        </w:numPr>
        <w:ind w:hanging="360"/>
      </w:pPr>
      <w:r>
        <w:t>Uruchomić tryb odtwarzania, pozwalający na odtworzenie zarejestrowanej już wcześniej symulacji;</w:t>
      </w:r>
    </w:p>
    <w:p w14:paraId="45703332" w14:textId="77777777" w:rsidR="003467F6" w:rsidRDefault="003467F6">
      <w:pPr>
        <w:ind w:left="0"/>
      </w:pPr>
    </w:p>
    <w:tbl>
      <w:tblPr>
        <w:tblStyle w:val="a1"/>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3467F6" w14:paraId="161E7B34" w14:textId="77777777">
        <w:trPr>
          <w:trHeight w:val="6082"/>
        </w:trPr>
        <w:tc>
          <w:tcPr>
            <w:tcW w:w="9072" w:type="dxa"/>
            <w:tcBorders>
              <w:top w:val="nil"/>
              <w:left w:val="nil"/>
              <w:bottom w:val="nil"/>
              <w:right w:val="nil"/>
            </w:tcBorders>
            <w:shd w:val="clear" w:color="auto" w:fill="auto"/>
            <w:tcMar>
              <w:top w:w="100" w:type="dxa"/>
              <w:left w:w="100" w:type="dxa"/>
              <w:bottom w:w="100" w:type="dxa"/>
              <w:right w:w="100" w:type="dxa"/>
            </w:tcMar>
          </w:tcPr>
          <w:sdt>
            <w:sdtPr>
              <w:tag w:val="goog_rdk_2"/>
              <w:id w:val="-1192986165"/>
              <w:lock w:val="contentLocked"/>
            </w:sdtPr>
            <w:sdtEndPr/>
            <w:sdtContent>
              <w:p w14:paraId="7C68F122" w14:textId="77777777" w:rsidR="003467F6" w:rsidRDefault="00E13EF0">
                <w:pPr>
                  <w:widowControl w:val="0"/>
                  <w:pBdr>
                    <w:top w:val="nil"/>
                    <w:left w:val="nil"/>
                    <w:bottom w:val="nil"/>
                    <w:right w:val="nil"/>
                    <w:between w:val="nil"/>
                  </w:pBdr>
                  <w:spacing w:before="0" w:after="0" w:line="240" w:lineRule="auto"/>
                  <w:ind w:left="0"/>
                </w:pPr>
                <w:r>
                  <w:rPr>
                    <w:noProof/>
                  </w:rPr>
                  <w:drawing>
                    <wp:inline distT="114300" distB="114300" distL="114300" distR="114300" wp14:anchorId="77071646" wp14:editId="65EE8033">
                      <wp:extent cx="5619750" cy="3479800"/>
                      <wp:effectExtent l="12700" t="12700" r="12700" b="12700"/>
                      <wp:docPr id="2069789013" name="image8.png" descr="Ekran wyboru rejestru symulacji na niebieskim tle. Po lewej stronie znajduje się lista ośmiu plików rejestrów z tego samego dnia i godziny, ponumerowanych kolejno. Obok każdej nazwy pliku znajduje się pomarańczowy przycisk z napisem &quot;Open&quot;. Po prawej stronie ekranu widnieje instrukcja: &quot;Wybierz rejestr, który chcesz wyświetlić, używając listy po lewej stronie.&quot; Na dole ekranu znajduje się czerwony przycisk &quot;Wstecz&quot; służący do powrotu do poprzedniego ekranu. Wszystkie pliki rejestrów pochodzą z tej samej daty i zostały utworzone w niewielkich odstępach czasu."/>
                      <wp:cNvGraphicFramePr/>
                      <a:graphic xmlns:a="http://schemas.openxmlformats.org/drawingml/2006/main">
                        <a:graphicData uri="http://schemas.openxmlformats.org/drawingml/2006/picture">
                          <pic:pic xmlns:pic="http://schemas.openxmlformats.org/drawingml/2006/picture">
                            <pic:nvPicPr>
                              <pic:cNvPr id="0" name="image8.png" descr="Ekran wyboru rejestru symulacji na niebieskim tle. Po lewej stronie znajduje się lista ośmiu plików rejestrów z tego samego dnia i godziny, ponumerowanych kolejno. Obok każdej nazwy pliku znajduje się pomarańczowy przycisk z napisem &quot;Open&quot;. Po prawej stronie ekranu widnieje instrukcja: &quot;Wybierz rejestr, który chcesz wyświetlić, używając listy po lewej stronie.&quot; Na dole ekranu znajduje się czerwony przycisk &quot;Wstecz&quot; służący do powrotu do poprzedniego ekranu. Wszystkie pliki rejestrów pochodzą z tej samej daty i zostały utworzone w niewielkich odstępach czasu."/>
                              <pic:cNvPicPr preferRelativeResize="0"/>
                            </pic:nvPicPr>
                            <pic:blipFill>
                              <a:blip r:embed="rId11"/>
                              <a:srcRect/>
                              <a:stretch>
                                <a:fillRect/>
                              </a:stretch>
                            </pic:blipFill>
                            <pic:spPr>
                              <a:xfrm>
                                <a:off x="0" y="0"/>
                                <a:ext cx="5619750" cy="3479800"/>
                              </a:xfrm>
                              <a:prstGeom prst="rect">
                                <a:avLst/>
                              </a:prstGeom>
                              <a:ln w="12700">
                                <a:solidFill>
                                  <a:srgbClr val="000000"/>
                                </a:solidFill>
                                <a:prstDash val="solid"/>
                              </a:ln>
                            </pic:spPr>
                          </pic:pic>
                        </a:graphicData>
                      </a:graphic>
                    </wp:inline>
                  </w:drawing>
                </w:r>
              </w:p>
              <w:p w14:paraId="60F79BBD" w14:textId="77777777" w:rsidR="003467F6" w:rsidRDefault="00E13EF0">
                <w:pPr>
                  <w:widowControl w:val="0"/>
                  <w:pBdr>
                    <w:top w:val="nil"/>
                    <w:left w:val="nil"/>
                    <w:bottom w:val="nil"/>
                    <w:right w:val="nil"/>
                    <w:between w:val="nil"/>
                  </w:pBdr>
                  <w:spacing w:before="0" w:after="0" w:line="240" w:lineRule="auto"/>
                  <w:ind w:left="0"/>
                  <w:rPr>
                    <w:sz w:val="22"/>
                    <w:szCs w:val="22"/>
                  </w:rPr>
                </w:pPr>
                <w:r>
                  <w:rPr>
                    <w:b/>
                    <w:sz w:val="22"/>
                    <w:szCs w:val="22"/>
                  </w:rPr>
                  <w:t>Rys 2-3.</w:t>
                </w:r>
                <w:r>
                  <w:rPr>
                    <w:sz w:val="22"/>
                    <w:szCs w:val="22"/>
                  </w:rPr>
                  <w:t xml:space="preserve"> Ekran wyboru rejestru symulacji na niebieskim tle. Po lewej stronie znajduje się lista ośmiu plików rejestrów z tego samego dnia i godziny, ponumerowanych kolejno. Obok każdej nazwy pliku znajduje się pomarańczowy przycisk z napisem "Open". Po prawej stronie ekranu widnieje instrukcja: "Wybierz rejestr, który chcesz wyświetlić, używając listy po lewej stronie." Na dole ekranu znajduje się czerwony przycisk "Wstecz" służący do powrotu do poprzedniego ekranu. Wszystkie pliki rejestrów pochodzą z tej samej daty i zostały utworzone w niewielkich odstępach czasu.</w:t>
                </w:r>
              </w:p>
            </w:sdtContent>
          </w:sdt>
        </w:tc>
      </w:tr>
    </w:tbl>
    <w:p w14:paraId="2A692FB1" w14:textId="56C572D7" w:rsidR="003467F6" w:rsidRDefault="00E13EF0">
      <w:pPr>
        <w:numPr>
          <w:ilvl w:val="2"/>
          <w:numId w:val="4"/>
        </w:numPr>
      </w:pPr>
      <w:r>
        <w:t>Uruchomienie trybu odtwarzania otworzy nowy panel, zawierający spis wszystkich dostępnych w systemie rejestrów symulacji. Instruktor może wybrać dowolny z nich, aby zobaczyć jego podsumowanie</w:t>
      </w:r>
      <w:r w:rsidR="00450F11">
        <w:t>, podsumowanie wskazuje – w oparciu o funkcjonalność automatyczną – najważniejsze informacje, zdarzenia oraz błędy popełnione podczas symulacji</w:t>
      </w:r>
      <w:r>
        <w:t>;</w:t>
      </w:r>
    </w:p>
    <w:p w14:paraId="20575CD0" w14:textId="77777777" w:rsidR="003467F6" w:rsidRDefault="003467F6">
      <w:pPr>
        <w:ind w:left="0"/>
      </w:pPr>
    </w:p>
    <w:tbl>
      <w:tblPr>
        <w:tblStyle w:val="a2"/>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3467F6" w14:paraId="56521720" w14:textId="77777777">
        <w:tc>
          <w:tcPr>
            <w:tcW w:w="9072" w:type="dxa"/>
            <w:tcBorders>
              <w:top w:val="nil"/>
              <w:left w:val="nil"/>
              <w:bottom w:val="nil"/>
              <w:right w:val="nil"/>
            </w:tcBorders>
            <w:shd w:val="clear" w:color="auto" w:fill="auto"/>
            <w:tcMar>
              <w:top w:w="100" w:type="dxa"/>
              <w:left w:w="100" w:type="dxa"/>
              <w:bottom w:w="100" w:type="dxa"/>
              <w:right w:w="100" w:type="dxa"/>
            </w:tcMar>
          </w:tcPr>
          <w:sdt>
            <w:sdtPr>
              <w:tag w:val="goog_rdk_3"/>
              <w:id w:val="-863984771"/>
              <w:lock w:val="contentLocked"/>
            </w:sdtPr>
            <w:sdtEndPr/>
            <w:sdtContent>
              <w:p w14:paraId="5290644A" w14:textId="77777777" w:rsidR="003467F6" w:rsidRDefault="00E13EF0">
                <w:pPr>
                  <w:widowControl w:val="0"/>
                  <w:pBdr>
                    <w:top w:val="nil"/>
                    <w:left w:val="nil"/>
                    <w:bottom w:val="nil"/>
                    <w:right w:val="nil"/>
                    <w:between w:val="nil"/>
                  </w:pBdr>
                  <w:spacing w:before="0" w:after="0" w:line="240" w:lineRule="auto"/>
                  <w:ind w:left="0"/>
                </w:pPr>
                <w:r>
                  <w:rPr>
                    <w:noProof/>
                  </w:rPr>
                  <w:drawing>
                    <wp:inline distT="114300" distB="114300" distL="114300" distR="114300" wp14:anchorId="09B91FA3" wp14:editId="1DFF7467">
                      <wp:extent cx="5619750" cy="3505200"/>
                      <wp:effectExtent l="0" t="0" r="0" b="0"/>
                      <wp:docPr id="2069789012" name="image5.png" descr="Ekran z wykresem wyników symulacji na niebieskim tle. U góry znajdują się trzy białe przyciski pozwalające przełączać między różnymi parametrami do wyświetlenia. Główną część ekranu zajmuje wykres z osią pionową pokazującą poziom mierzonego parametru i osią poziomą przedstawiającą czas trwania symulacji. Wykres przedstawiony jest czerwoną linią na szarym tle z siatką pomocniczą. Po lewej stronie ekranu wyświetlone są informacje o scenariuszu, czasie trwania oraz dacie utworzenia zapisu. Poniżej znajdują się dwa przyciski: biały do odtworzenia symulacji oraz czerwony umożliwiający powrót do menu głównego. Na dole ekranu widnieje instrukcja dotycząca obsługi przycisków. Wykres pokazuje zmiany mierzonego parametru w czasie trwania ćwiczenia, z widocznymi wzrostami i spadkami wartości w różnych momentach symulacji."/>
                      <wp:cNvGraphicFramePr/>
                      <a:graphic xmlns:a="http://schemas.openxmlformats.org/drawingml/2006/main">
                        <a:graphicData uri="http://schemas.openxmlformats.org/drawingml/2006/picture">
                          <pic:pic xmlns:pic="http://schemas.openxmlformats.org/drawingml/2006/picture">
                            <pic:nvPicPr>
                              <pic:cNvPr id="0" name="image5.png" descr="Ekran z wykresem wyników symulacji na niebieskim tle. U góry znajdują się trzy białe przyciski pozwalające przełączać między różnymi parametrami do wyświetlenia. Główną część ekranu zajmuje wykres z osią pionową pokazującą poziom mierzonego parametru i osią poziomą przedstawiającą czas trwania symulacji. Wykres przedstawiony jest czerwoną linią na szarym tle z siatką pomocniczą. Po lewej stronie ekranu wyświetlone są informacje o scenariuszu, czasie trwania oraz dacie utworzenia zapisu. Poniżej znajdują się dwa przyciski: biały do odtworzenia symulacji oraz czerwony umożliwiający powrót do menu głównego. Na dole ekranu widnieje instrukcja dotycząca obsługi przycisków. Wykres pokazuje zmiany mierzonego parametru w czasie trwania ćwiczenia, z widocznymi wzrostami i spadkami wartości w różnych momentach symulacji."/>
                              <pic:cNvPicPr preferRelativeResize="0"/>
                            </pic:nvPicPr>
                            <pic:blipFill>
                              <a:blip r:embed="rId12"/>
                              <a:srcRect/>
                              <a:stretch>
                                <a:fillRect/>
                              </a:stretch>
                            </pic:blipFill>
                            <pic:spPr>
                              <a:xfrm>
                                <a:off x="0" y="0"/>
                                <a:ext cx="5619750" cy="3505200"/>
                              </a:xfrm>
                              <a:prstGeom prst="rect">
                                <a:avLst/>
                              </a:prstGeom>
                              <a:ln/>
                            </pic:spPr>
                          </pic:pic>
                        </a:graphicData>
                      </a:graphic>
                    </wp:inline>
                  </w:drawing>
                </w:r>
              </w:p>
              <w:p w14:paraId="086444BA" w14:textId="77777777" w:rsidR="003467F6" w:rsidRDefault="00E13EF0">
                <w:pPr>
                  <w:widowControl w:val="0"/>
                  <w:pBdr>
                    <w:top w:val="nil"/>
                    <w:left w:val="nil"/>
                    <w:bottom w:val="nil"/>
                    <w:right w:val="nil"/>
                    <w:between w:val="nil"/>
                  </w:pBdr>
                  <w:spacing w:before="0" w:after="0" w:line="240" w:lineRule="auto"/>
                  <w:ind w:left="0"/>
                  <w:rPr>
                    <w:sz w:val="22"/>
                    <w:szCs w:val="22"/>
                  </w:rPr>
                </w:pPr>
                <w:r>
                  <w:rPr>
                    <w:b/>
                    <w:sz w:val="22"/>
                    <w:szCs w:val="22"/>
                  </w:rPr>
                  <w:t xml:space="preserve">Rys 2-4. </w:t>
                </w:r>
                <w:r>
                  <w:rPr>
                    <w:sz w:val="22"/>
                    <w:szCs w:val="22"/>
                  </w:rPr>
                  <w:t>Ekran z wykresem wyników symulacji na niebieskim tle. U góry znajdują się trzy białe przyciski pozwalające przełączać między różnymi parametrami do wyświetlenia. Główną część ekranu zajmuje wykres z osią pionową pokazującą poziom mierzonego parametru i osią poziomą przedstawiającą czas trwania symulacji. Wykres przedstawiony jest czerwoną linią na szarym tle z siatką pomocniczą. Po lewej stronie ekranu wyświetlone są informacje o scenariuszu, czasie trwania oraz dacie utworzenia zapisu. Poniżej znajdują się dwa przyciski: biały do odtworzenia symulacji oraz czerwony umożliwiający powrót do menu głównego. Na dole ekranu widnieje instrukcja dotycząca obsługi przycisków. Wykres pokazuje zmiany mierzonego parametru w czasie trwania ćwiczenia, z widocznymi wzrostami i spadkami wartości w różnych momentach symulacji.</w:t>
                </w:r>
              </w:p>
              <w:p w14:paraId="09AD3EE2" w14:textId="77777777" w:rsidR="003467F6" w:rsidRDefault="001B2606">
                <w:pPr>
                  <w:widowControl w:val="0"/>
                  <w:pBdr>
                    <w:top w:val="nil"/>
                    <w:left w:val="nil"/>
                    <w:bottom w:val="nil"/>
                    <w:right w:val="nil"/>
                    <w:between w:val="nil"/>
                  </w:pBdr>
                  <w:spacing w:before="0" w:after="0" w:line="240" w:lineRule="auto"/>
                  <w:ind w:left="0"/>
                </w:pPr>
              </w:p>
            </w:sdtContent>
          </w:sdt>
        </w:tc>
      </w:tr>
    </w:tbl>
    <w:p w14:paraId="264E1B37" w14:textId="5D96FB2B" w:rsidR="003467F6" w:rsidRDefault="00E13EF0">
      <w:pPr>
        <w:numPr>
          <w:ilvl w:val="2"/>
          <w:numId w:val="4"/>
        </w:numPr>
      </w:pPr>
      <w:r>
        <w:t>Będąc w panelu podsumowania, instruktor ma możliwość odtworzenia pełnego przebiegu symulacji, poprzez wciśnięcie przycisku na interfejsie;</w:t>
      </w:r>
    </w:p>
    <w:p w14:paraId="1D76D8BC" w14:textId="77777777" w:rsidR="003467F6" w:rsidRDefault="00E13EF0">
      <w:pPr>
        <w:numPr>
          <w:ilvl w:val="1"/>
          <w:numId w:val="4"/>
        </w:numPr>
        <w:ind w:hanging="360"/>
      </w:pPr>
      <w:r>
        <w:t>Otworzyć folder zawierający rejestr wszystkich zarejestrowanych do tej pory symulacji na obecnym urządzeniu;</w:t>
      </w:r>
    </w:p>
    <w:p w14:paraId="73657045" w14:textId="77777777" w:rsidR="003467F6" w:rsidRDefault="00E13EF0">
      <w:pPr>
        <w:numPr>
          <w:ilvl w:val="2"/>
          <w:numId w:val="4"/>
        </w:numPr>
      </w:pPr>
      <w:r>
        <w:t>Wszelkie zmiany na plikach zawartych w katalogu rejestru, w tym kopiowanie, usuwanie, a także wklejanie, wpłyną na rejestr wyświetlany w aplikacji;</w:t>
      </w:r>
    </w:p>
    <w:p w14:paraId="15910E51" w14:textId="77777777" w:rsidR="003467F6" w:rsidRDefault="00E13EF0">
      <w:pPr>
        <w:numPr>
          <w:ilvl w:val="2"/>
          <w:numId w:val="4"/>
        </w:numPr>
      </w:pPr>
      <w:r>
        <w:t>Wykonawca nie ponosi odpowiedzialności za problemy wynikłe wskutek zmian, które nastąpiły w konsekwencji do ręcznego zarządzania plikami rejestru;</w:t>
      </w:r>
    </w:p>
    <w:p w14:paraId="78DEE7A7" w14:textId="77777777" w:rsidR="003467F6" w:rsidRDefault="00E13EF0">
      <w:pPr>
        <w:numPr>
          <w:ilvl w:val="2"/>
          <w:numId w:val="4"/>
        </w:numPr>
      </w:pPr>
      <w:r>
        <w:lastRenderedPageBreak/>
        <w:t>Folder zostanie otworzony za pomocą domyślnego eksploratora plików używanego przez system operacyjny.</w:t>
      </w:r>
    </w:p>
    <w:p w14:paraId="1A69F4A5" w14:textId="77777777" w:rsidR="003467F6" w:rsidRDefault="00E13EF0">
      <w:pPr>
        <w:numPr>
          <w:ilvl w:val="1"/>
          <w:numId w:val="4"/>
        </w:numPr>
        <w:ind w:hanging="360"/>
      </w:pPr>
      <w:r>
        <w:t>Wyłączyć aplikację symulatora;</w:t>
      </w:r>
    </w:p>
    <w:tbl>
      <w:tblPr>
        <w:tblStyle w:val="a3"/>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3467F6" w14:paraId="59C85F26" w14:textId="77777777">
        <w:trPr>
          <w:trHeight w:val="6127"/>
        </w:trPr>
        <w:tc>
          <w:tcPr>
            <w:tcW w:w="9072" w:type="dxa"/>
            <w:tcBorders>
              <w:top w:val="nil"/>
              <w:left w:val="nil"/>
              <w:bottom w:val="nil"/>
              <w:right w:val="nil"/>
            </w:tcBorders>
            <w:shd w:val="clear" w:color="auto" w:fill="auto"/>
            <w:tcMar>
              <w:top w:w="100" w:type="dxa"/>
              <w:left w:w="100" w:type="dxa"/>
              <w:bottom w:w="100" w:type="dxa"/>
              <w:right w:w="100" w:type="dxa"/>
            </w:tcMar>
          </w:tcPr>
          <w:sdt>
            <w:sdtPr>
              <w:tag w:val="goog_rdk_4"/>
              <w:id w:val="1716011358"/>
              <w:lock w:val="contentLocked"/>
            </w:sdtPr>
            <w:sdtEndPr/>
            <w:sdtContent>
              <w:p w14:paraId="6DDB24E5" w14:textId="77777777" w:rsidR="003467F6" w:rsidRDefault="00E13EF0">
                <w:pPr>
                  <w:widowControl w:val="0"/>
                  <w:pBdr>
                    <w:top w:val="nil"/>
                    <w:left w:val="nil"/>
                    <w:bottom w:val="nil"/>
                    <w:right w:val="nil"/>
                    <w:between w:val="nil"/>
                  </w:pBdr>
                  <w:spacing w:before="0" w:after="0" w:line="240" w:lineRule="auto"/>
                  <w:ind w:left="0"/>
                </w:pPr>
                <w:r>
                  <w:rPr>
                    <w:noProof/>
                  </w:rPr>
                  <w:drawing>
                    <wp:inline distT="114300" distB="114300" distL="114300" distR="114300" wp14:anchorId="6C215221" wp14:editId="5558BD77">
                      <wp:extent cx="5619750" cy="3505200"/>
                      <wp:effectExtent l="0" t="0" r="0" b="0"/>
                      <wp:docPr id="2069789016" name="image1.png" descr="Ekran interfejsu symulatora podczas pracy na niebieskim tle. W lewym górnym rogu wyświetlony jest status systemów: &quot;GPS Działający&quot; (na zielonym tle), &quot;Optyka Uszkodzona&quot; (na czerwonym tle) oraz &quot;Wietrznie&quot; (również na czerwonym tle). Pod statusami widoczne są dodatkowe informacje: &quot;Wyłącz za 10 sekund&quot; oraz status &quot;Niedostępne&quot; dla dwóch pozostałych funkcji. W prawym górnym rogu znajduje się szary przycisk &quot;Ukryj Menu&quot;. Na dole ekranu umieszczone są przyciski: &quot;Pokaż widok z BSP&quot; (po lewej stronie), żółty przycisk &quot;Pauza&quot; (pośrodku), biały przycisk &quot;Zrestartuj symulację (Przytrzymaj)&quot; oraz czerwony przycisk &quot;Zakończ symulację (Przytrzymaj)&quot; (po prawej stronie). Nad przyciskami kontrolnymi widnieje instrukcja: &quot;Kliknij i przytrzymaj, aby wcisnąć przycisk.&quot;"/>
                      <wp:cNvGraphicFramePr/>
                      <a:graphic xmlns:a="http://schemas.openxmlformats.org/drawingml/2006/main">
                        <a:graphicData uri="http://schemas.openxmlformats.org/drawingml/2006/picture">
                          <pic:pic xmlns:pic="http://schemas.openxmlformats.org/drawingml/2006/picture">
                            <pic:nvPicPr>
                              <pic:cNvPr id="0" name="image1.png" descr="Ekran interfejsu symulatora podczas pracy na niebieskim tle. W lewym górnym rogu wyświetlony jest status systemów: &quot;GPS Działający&quot; (na zielonym tle), &quot;Optyka Uszkodzona&quot; (na czerwonym tle) oraz &quot;Wietrznie&quot; (również na czerwonym tle). Pod statusami widoczne są dodatkowe informacje: &quot;Wyłącz za 10 sekund&quot; oraz status &quot;Niedostępne&quot; dla dwóch pozostałych funkcji. W prawym górnym rogu znajduje się szary przycisk &quot;Ukryj Menu&quot;. Na dole ekranu umieszczone są przyciski: &quot;Pokaż widok z BSP&quot; (po lewej stronie), żółty przycisk &quot;Pauza&quot; (pośrodku), biały przycisk &quot;Zrestartuj symulację (Przytrzymaj)&quot; oraz czerwony przycisk &quot;Zakończ symulację (Przytrzymaj)&quot; (po prawej stronie). Nad przyciskami kontrolnymi widnieje instrukcja: &quot;Kliknij i przytrzymaj, aby wcisnąć przycisk.&quot;"/>
                              <pic:cNvPicPr preferRelativeResize="0"/>
                            </pic:nvPicPr>
                            <pic:blipFill>
                              <a:blip r:embed="rId13"/>
                              <a:srcRect/>
                              <a:stretch>
                                <a:fillRect/>
                              </a:stretch>
                            </pic:blipFill>
                            <pic:spPr>
                              <a:xfrm>
                                <a:off x="0" y="0"/>
                                <a:ext cx="5619750" cy="3505200"/>
                              </a:xfrm>
                              <a:prstGeom prst="rect">
                                <a:avLst/>
                              </a:prstGeom>
                              <a:ln/>
                            </pic:spPr>
                          </pic:pic>
                        </a:graphicData>
                      </a:graphic>
                    </wp:inline>
                  </w:drawing>
                </w:r>
              </w:p>
              <w:p w14:paraId="0B2365EC" w14:textId="77777777" w:rsidR="003467F6" w:rsidRDefault="00E13EF0">
                <w:pPr>
                  <w:widowControl w:val="0"/>
                  <w:pBdr>
                    <w:top w:val="nil"/>
                    <w:left w:val="nil"/>
                    <w:bottom w:val="nil"/>
                    <w:right w:val="nil"/>
                    <w:between w:val="nil"/>
                  </w:pBdr>
                  <w:spacing w:before="0" w:after="0" w:line="240" w:lineRule="auto"/>
                  <w:ind w:left="0"/>
                  <w:rPr>
                    <w:sz w:val="22"/>
                    <w:szCs w:val="22"/>
                  </w:rPr>
                </w:pPr>
                <w:r>
                  <w:rPr>
                    <w:b/>
                    <w:sz w:val="22"/>
                    <w:szCs w:val="22"/>
                  </w:rPr>
                  <w:t>Rys 2-5:</w:t>
                </w:r>
                <w:r>
                  <w:rPr>
                    <w:sz w:val="22"/>
                    <w:szCs w:val="22"/>
                  </w:rPr>
                  <w:t xml:space="preserve"> Ekran interfejsu symulatora podczas pracy na niebieskim tle. W lewym górnym rogu wyświetlony jest status systemów: "GPS Działający" (na zielonym tle), "Optyka Uszkodzona" (na czerwonym tle) oraz "Wietrznie" (również na czerwonym tle). Pod statusami widoczne są dodatkowe informacje: "Wyłącz za 10 sekund" oraz status "Niedostępne" dla dwóch pozostałych funkcji. W prawym górnym rogu znajduje się szary przycisk "Ukryj Menu". Na dole ekranu umieszczone są przyciski: "Pokaż widok z BSP" (po lewej stronie), żółty przycisk "Pauza" (pośrodku), biały przycisk "Zrestartuj symulację (Przytrzymaj)" oraz czerwony przycisk "Zakończ symulację (Przytrzymaj)" (po prawej stronie). Nad przyciskami kontrolnymi widnieje instrukcja: "Kliknij i przytrzymaj, aby wcisnąć przycisk."</w:t>
                </w:r>
              </w:p>
              <w:p w14:paraId="6809C49B" w14:textId="77777777" w:rsidR="003467F6" w:rsidRDefault="001B2606">
                <w:pPr>
                  <w:widowControl w:val="0"/>
                  <w:pBdr>
                    <w:top w:val="nil"/>
                    <w:left w:val="nil"/>
                    <w:bottom w:val="nil"/>
                    <w:right w:val="nil"/>
                    <w:between w:val="nil"/>
                  </w:pBdr>
                  <w:spacing w:before="0" w:after="0" w:line="240" w:lineRule="auto"/>
                  <w:ind w:left="0"/>
                </w:pPr>
              </w:p>
            </w:sdtContent>
          </w:sdt>
        </w:tc>
      </w:tr>
    </w:tbl>
    <w:p w14:paraId="76F723C5" w14:textId="77777777" w:rsidR="003467F6" w:rsidRDefault="00E13EF0">
      <w:pPr>
        <w:numPr>
          <w:ilvl w:val="0"/>
          <w:numId w:val="4"/>
        </w:numPr>
      </w:pPr>
      <w:r>
        <w:t xml:space="preserve">Podczas gdy uczestnicy biorą udział w symulacji, instruktor ma do swojej dyspozycji Panel Instruktora, który można wyświetlić poprzez kliknięcie przycisku w prawym górnym rogu ekranu, bądź wciskając klawisz </w:t>
      </w:r>
      <w:proofErr w:type="spellStart"/>
      <w:r>
        <w:t>Esc</w:t>
      </w:r>
      <w:proofErr w:type="spellEnd"/>
      <w:r>
        <w:t xml:space="preserve"> na klawiaturze. Z poziomu panelu instruktora, instruktor może:</w:t>
      </w:r>
      <w:r>
        <w:tab/>
      </w:r>
      <w:r>
        <w:tab/>
        <w:t xml:space="preserve">  </w:t>
      </w:r>
    </w:p>
    <w:p w14:paraId="02243D26" w14:textId="77777777" w:rsidR="003467F6" w:rsidRDefault="00E13EF0">
      <w:pPr>
        <w:numPr>
          <w:ilvl w:val="1"/>
          <w:numId w:val="4"/>
        </w:numPr>
        <w:ind w:hanging="360"/>
      </w:pPr>
      <w:r>
        <w:t>Wstrzymać przebieg symulacji, z możliwością dalszego wznowienia;</w:t>
      </w:r>
    </w:p>
    <w:p w14:paraId="434A8297" w14:textId="77777777" w:rsidR="003467F6" w:rsidRDefault="00E13EF0">
      <w:pPr>
        <w:numPr>
          <w:ilvl w:val="1"/>
          <w:numId w:val="4"/>
        </w:numPr>
        <w:ind w:hanging="360"/>
      </w:pPr>
      <w:r>
        <w:t>Całkowicie przerwać przebieg symulacji — wymaga kliknięcia i przytrzymania przycisku, celem zapobiegnięcia przypadkowej aktywacji;</w:t>
      </w:r>
    </w:p>
    <w:p w14:paraId="1C80C602" w14:textId="77777777" w:rsidR="003467F6" w:rsidRDefault="00E13EF0">
      <w:pPr>
        <w:numPr>
          <w:ilvl w:val="1"/>
          <w:numId w:val="4"/>
        </w:numPr>
        <w:ind w:hanging="360"/>
      </w:pPr>
      <w:r>
        <w:lastRenderedPageBreak/>
        <w:t>Zrestartować scenariusz od początku — wymaga kliknięcia i przytrzymania przycisku, celem zapobiegnięcia przypadkowej aktywacji;</w:t>
      </w:r>
    </w:p>
    <w:p w14:paraId="1338FB78" w14:textId="77777777" w:rsidR="003467F6" w:rsidRDefault="00E13EF0">
      <w:pPr>
        <w:numPr>
          <w:ilvl w:val="1"/>
          <w:numId w:val="4"/>
        </w:numPr>
        <w:ind w:hanging="360"/>
      </w:pPr>
      <w:r>
        <w:t>Natychmiastowo, lub po upływie 10 sekund, wyłączyć moduł GPS w symulatorze BSP, a następnie ponownie go włączyć;</w:t>
      </w:r>
    </w:p>
    <w:p w14:paraId="0C13DBAD" w14:textId="77777777" w:rsidR="003467F6" w:rsidRDefault="00E13EF0">
      <w:pPr>
        <w:numPr>
          <w:ilvl w:val="1"/>
          <w:numId w:val="4"/>
        </w:numPr>
        <w:ind w:hanging="360"/>
      </w:pPr>
      <w:r>
        <w:t>Natychmiastowo, lub po upływie 10 sekund, wyłączyć moduł kamery w symulatorze BSP, a następnie ponownie go włączyć;</w:t>
      </w:r>
    </w:p>
    <w:p w14:paraId="70DF2E59" w14:textId="6FD37FD7" w:rsidR="003467F6" w:rsidRDefault="00E13EF0">
      <w:pPr>
        <w:numPr>
          <w:ilvl w:val="1"/>
          <w:numId w:val="4"/>
        </w:numPr>
        <w:ind w:hanging="360"/>
      </w:pPr>
      <w:r>
        <w:t>Natychmiastowo, lub po upływie 10 sekund, przełączyć pogodę z bezwietrznej na wietrzną, a następnie przełączyć ją ponownie.</w:t>
      </w:r>
    </w:p>
    <w:p w14:paraId="1FDC3DDD" w14:textId="2A451DCC" w:rsidR="00450F11" w:rsidRDefault="00450F11">
      <w:pPr>
        <w:numPr>
          <w:ilvl w:val="1"/>
          <w:numId w:val="4"/>
        </w:numPr>
        <w:ind w:hanging="360"/>
      </w:pPr>
      <w:proofErr w:type="spellStart"/>
      <w:r>
        <w:t>Failsafe</w:t>
      </w:r>
      <w:proofErr w:type="spellEnd"/>
      <w:r>
        <w:t xml:space="preserve"> – po kliknięciu przycisku „</w:t>
      </w:r>
      <w:proofErr w:type="spellStart"/>
      <w:r>
        <w:t>failsafe</w:t>
      </w:r>
      <w:proofErr w:type="spellEnd"/>
      <w:r>
        <w:t>” na panelu admina, dron automatycznie wraca do miejsca startu.</w:t>
      </w:r>
    </w:p>
    <w:p w14:paraId="3D01F682" w14:textId="77777777" w:rsidR="003467F6" w:rsidRDefault="00E13EF0">
      <w:pPr>
        <w:numPr>
          <w:ilvl w:val="0"/>
          <w:numId w:val="4"/>
        </w:numPr>
      </w:pPr>
      <w:r>
        <w:t>Znajdując się na ekranie podsumowania, instruktor może przejrzeć dane pozyskane z odbytej symulacji:</w:t>
      </w:r>
    </w:p>
    <w:p w14:paraId="0F5A9B8B" w14:textId="77777777" w:rsidR="003467F6" w:rsidRDefault="00E13EF0">
      <w:pPr>
        <w:numPr>
          <w:ilvl w:val="1"/>
          <w:numId w:val="4"/>
        </w:numPr>
        <w:ind w:hanging="360"/>
      </w:pPr>
      <w:r>
        <w:t>Wykresy dla poszczególnych aspektów symulacji, pomiędzy którymi instruktor może przemieszczać się za pomocą przycisków funkcyjnych umieszczonych na górze ekranu.</w:t>
      </w:r>
    </w:p>
    <w:p w14:paraId="220DCD75" w14:textId="77777777" w:rsidR="003467F6" w:rsidRDefault="00E13EF0">
      <w:pPr>
        <w:numPr>
          <w:ilvl w:val="1"/>
          <w:numId w:val="4"/>
        </w:numPr>
        <w:ind w:hanging="360"/>
      </w:pPr>
      <w:r>
        <w:t>Za pomocą panelu informacyjnego umieszczonego z lewej strony ekranu, instruktor może zapoznać się z informacjami takimi jak:</w:t>
      </w:r>
    </w:p>
    <w:p w14:paraId="068FD08F" w14:textId="77777777" w:rsidR="003467F6" w:rsidRDefault="00E13EF0">
      <w:pPr>
        <w:numPr>
          <w:ilvl w:val="2"/>
          <w:numId w:val="4"/>
        </w:numPr>
      </w:pPr>
      <w:r>
        <w:t>Nazwa scenariusza, na którym odbyła się zarejestrowana symulacja;</w:t>
      </w:r>
    </w:p>
    <w:p w14:paraId="5640A343" w14:textId="77777777" w:rsidR="003467F6" w:rsidRDefault="00E13EF0">
      <w:pPr>
        <w:numPr>
          <w:ilvl w:val="2"/>
          <w:numId w:val="4"/>
        </w:numPr>
      </w:pPr>
      <w:r>
        <w:t>Łączny czas trwania symulacji;</w:t>
      </w:r>
    </w:p>
    <w:p w14:paraId="08C42CB7" w14:textId="0B9A03D1" w:rsidR="003467F6" w:rsidRDefault="00E13EF0" w:rsidP="005B1202">
      <w:pPr>
        <w:numPr>
          <w:ilvl w:val="2"/>
          <w:numId w:val="4"/>
        </w:numPr>
        <w:spacing w:after="360"/>
        <w:ind w:left="851" w:hanging="284"/>
      </w:pPr>
      <w:r>
        <w:t>Data oraz godzina, kiedy rozpoczęła się symulacja</w:t>
      </w:r>
      <w:r w:rsidR="000D7FB5">
        <w:t>.</w:t>
      </w:r>
    </w:p>
    <w:p w14:paraId="68F4271E" w14:textId="77777777" w:rsidR="003467F6" w:rsidRPr="00C61E14" w:rsidRDefault="00E13EF0" w:rsidP="00C61E14">
      <w:pPr>
        <w:pStyle w:val="Nagwek1"/>
        <w:numPr>
          <w:ilvl w:val="0"/>
          <w:numId w:val="11"/>
        </w:numPr>
        <w:shd w:val="clear" w:color="auto" w:fill="D0CECE"/>
        <w:spacing w:before="200" w:after="200"/>
        <w:ind w:left="0" w:hanging="426"/>
        <w:rPr>
          <w:caps w:val="0"/>
          <w:color w:val="000000"/>
          <w:sz w:val="28"/>
          <w:szCs w:val="28"/>
        </w:rPr>
      </w:pPr>
      <w:bookmarkStart w:id="3" w:name="_Toc192249829"/>
      <w:r w:rsidRPr="00C61E14">
        <w:rPr>
          <w:caps w:val="0"/>
          <w:color w:val="000000"/>
          <w:sz w:val="28"/>
          <w:szCs w:val="28"/>
        </w:rPr>
        <w:t>Korzystanie z symulatora przez studentów oraz studentki</w:t>
      </w:r>
      <w:bookmarkEnd w:id="3"/>
    </w:p>
    <w:p w14:paraId="798DA467" w14:textId="77777777" w:rsidR="003467F6" w:rsidRDefault="00E13EF0">
      <w:pPr>
        <w:numPr>
          <w:ilvl w:val="0"/>
          <w:numId w:val="1"/>
        </w:numPr>
        <w:rPr>
          <w:rFonts w:ascii="Times New Roman" w:eastAsia="Times New Roman" w:hAnsi="Times New Roman" w:cs="Times New Roman"/>
        </w:rPr>
      </w:pPr>
      <w:r>
        <w:t>Przed rozpoczęciem korzystania z symulatora każdy uczestnik powinien odbyć obowiązkowe szkolenie wprowadzające przeprowadzone przez instruktora, obejmujące zasady bezpiecznego korzystania z gogli VR oraz podstawowe protokoły sterowania bezzałogowym statkiem powietrznym (BSP) w środowisku wirtualnym.</w:t>
      </w:r>
    </w:p>
    <w:p w14:paraId="49E902F2" w14:textId="4050393E" w:rsidR="003467F6" w:rsidRDefault="00E13EF0">
      <w:pPr>
        <w:numPr>
          <w:ilvl w:val="0"/>
          <w:numId w:val="1"/>
        </w:numPr>
      </w:pPr>
      <w:r>
        <w:lastRenderedPageBreak/>
        <w:t>Przygotowanie do sesji symulacyjnej obejmuje indywidualną kalibrację gogli VR, w tym dostosowanie rozstawu źrenic (IPD) oraz odpowiednie dopasowanie pasków mocujących, zapewniające optymalne warunki użytkowania urządzenia.</w:t>
      </w:r>
      <w:r w:rsidR="001B5333">
        <w:t xml:space="preserve"> W przypadku osób z wadą wzroku, rekomenduje się użycie soczewek kontaktowych, a nie okularów.</w:t>
      </w:r>
    </w:p>
    <w:p w14:paraId="0B22DDC0" w14:textId="77777777" w:rsidR="003467F6" w:rsidRDefault="00E13EF0">
      <w:pPr>
        <w:numPr>
          <w:ilvl w:val="0"/>
          <w:numId w:val="1"/>
        </w:numPr>
      </w:pPr>
      <w:r>
        <w:t>Na polecenie instruktora uczestnik aplikuje gogle VR i uczestniczy w procedurze testów wstępnych, służących aklimatyzacji do środowiska wirtualnego oraz adaptacji do specyfiki użytkowania urządzeń VR.</w:t>
      </w:r>
    </w:p>
    <w:p w14:paraId="53A1CE70" w14:textId="77777777" w:rsidR="003467F6" w:rsidRDefault="00E13EF0">
      <w:pPr>
        <w:numPr>
          <w:ilvl w:val="0"/>
          <w:numId w:val="1"/>
        </w:numPr>
      </w:pPr>
      <w:r>
        <w:t>Uczestnik realizuje test wstępny, w ramach którego odpowiada na pytania prezentowane w środowisku wirtualnym poprzez selekcję odpowiednich opcji w interfejsie użytkownika.</w:t>
      </w:r>
    </w:p>
    <w:p w14:paraId="017987AB" w14:textId="77777777" w:rsidR="003467F6" w:rsidRDefault="00E13EF0">
      <w:pPr>
        <w:numPr>
          <w:ilvl w:val="0"/>
          <w:numId w:val="1"/>
        </w:numPr>
      </w:pPr>
      <w:r>
        <w:t>Po zakończeniu kwestionariusza uczestnik zdejmuje gogle VR, chyba że instruktor podejmie decyzję o kontynuacji i bezpośrednim przejściu do realizacji pierwszego scenariusza szkoleniowego.</w:t>
      </w:r>
    </w:p>
    <w:p w14:paraId="2E564A98" w14:textId="77777777" w:rsidR="003467F6" w:rsidRDefault="00E13EF0">
      <w:pPr>
        <w:numPr>
          <w:ilvl w:val="0"/>
          <w:numId w:val="1"/>
        </w:numPr>
      </w:pPr>
      <w:r>
        <w:t>Zgodnie z instrukcjami prowadzącego, uczestnik aplikuje gogle VR w celu realizacji wyznaczonego scenariusza szkoleniowego.</w:t>
      </w:r>
    </w:p>
    <w:p w14:paraId="3F7867C9" w14:textId="77777777" w:rsidR="003467F6" w:rsidRDefault="00E13EF0">
      <w:pPr>
        <w:numPr>
          <w:ilvl w:val="0"/>
          <w:numId w:val="1"/>
        </w:numPr>
      </w:pPr>
      <w:r>
        <w:t>Po zakończeniu każdego modułu szkoleniowego (scenariusza lub kwestionariusza), instruktor podejmuje decyzję o dezaktywacji lub dalszym wykorzystywaniu systemu VR przez uczestnika.</w:t>
      </w:r>
    </w:p>
    <w:p w14:paraId="093262B3" w14:textId="17DF6D9F" w:rsidR="003467F6" w:rsidRDefault="00E13EF0">
      <w:pPr>
        <w:numPr>
          <w:ilvl w:val="0"/>
          <w:numId w:val="1"/>
        </w:numPr>
      </w:pPr>
      <w:r>
        <w:t>Realizacja scenariuszy ma inny przebieg, w zależności o wybranego scenariusza</w:t>
      </w:r>
      <w:r w:rsidR="00450F11">
        <w:t xml:space="preserve"> oraz decyzji instruktora. </w:t>
      </w:r>
    </w:p>
    <w:p w14:paraId="6D01328F" w14:textId="41B9BA4F" w:rsidR="003467F6" w:rsidRPr="000D7FB5" w:rsidRDefault="00E13EF0">
      <w:pPr>
        <w:numPr>
          <w:ilvl w:val="1"/>
          <w:numId w:val="1"/>
        </w:numPr>
        <w:ind w:hanging="360"/>
        <w:rPr>
          <w:bCs/>
        </w:rPr>
      </w:pPr>
      <w:r w:rsidRPr="000D7FB5">
        <w:rPr>
          <w:b/>
        </w:rPr>
        <w:t>Scenariusz 1</w:t>
      </w:r>
      <w:r w:rsidRPr="000D7FB5">
        <w:rPr>
          <w:bCs/>
        </w:rPr>
        <w:t xml:space="preserve"> - Plac manewrowy</w:t>
      </w:r>
    </w:p>
    <w:p w14:paraId="61FD875E" w14:textId="77777777" w:rsidR="003467F6" w:rsidRDefault="00E13EF0">
      <w:pPr>
        <w:numPr>
          <w:ilvl w:val="2"/>
          <w:numId w:val="1"/>
        </w:numPr>
      </w:pPr>
      <w:r>
        <w:t>Uczestnik zapoznaje się z komunikatem inicjującym, przedstawiającym specyfikację zadania, rolę operatora BSP, w którą się wciela, oraz kontekst operacyjny, włączając w to warunki atmosferyczne.</w:t>
      </w:r>
    </w:p>
    <w:p w14:paraId="563EFEE2" w14:textId="77777777" w:rsidR="003467F6" w:rsidRDefault="00E13EF0">
      <w:pPr>
        <w:numPr>
          <w:ilvl w:val="2"/>
          <w:numId w:val="1"/>
        </w:numPr>
      </w:pPr>
      <w:r>
        <w:t xml:space="preserve">Uczestnik realizuje procedurę </w:t>
      </w:r>
      <w:proofErr w:type="spellStart"/>
      <w:r>
        <w:t>pre-flight</w:t>
      </w:r>
      <w:proofErr w:type="spellEnd"/>
      <w:r>
        <w:t xml:space="preserve"> </w:t>
      </w:r>
      <w:proofErr w:type="spellStart"/>
      <w:r>
        <w:t>checklist</w:t>
      </w:r>
      <w:proofErr w:type="spellEnd"/>
      <w:r>
        <w:t>, obejmującą zestaw standardowych czynności kontrolnych wymaganych przed rozpoczęciem operacji BSP.</w:t>
      </w:r>
    </w:p>
    <w:p w14:paraId="49C506DB" w14:textId="77777777" w:rsidR="003467F6" w:rsidRDefault="00E13EF0">
      <w:pPr>
        <w:numPr>
          <w:ilvl w:val="2"/>
          <w:numId w:val="1"/>
        </w:numPr>
      </w:pPr>
      <w:r>
        <w:lastRenderedPageBreak/>
        <w:t>Uczestnik inicjuje procedurę notyfikacyjną poprzez wykorzystanie urządzenia mobilnego zlokalizowanego w środowisku wirtualnym, zgłaszając intencję wykonania operacji BSP.</w:t>
      </w:r>
    </w:p>
    <w:p w14:paraId="26A4E8D6" w14:textId="77777777" w:rsidR="003467F6" w:rsidRDefault="00E13EF0">
      <w:pPr>
        <w:numPr>
          <w:ilvl w:val="2"/>
          <w:numId w:val="1"/>
        </w:numPr>
      </w:pPr>
      <w:r>
        <w:t>Uczestnik uruchamia BSP zgodnie z procedurą operacyjną określoną w sekcji VIV (Sterowanie) niniejszej dokumentacji.</w:t>
      </w:r>
    </w:p>
    <w:p w14:paraId="1F851516" w14:textId="77777777" w:rsidR="003467F6" w:rsidRDefault="00E13EF0">
      <w:pPr>
        <w:numPr>
          <w:ilvl w:val="2"/>
          <w:numId w:val="1"/>
        </w:numPr>
      </w:pPr>
      <w:r>
        <w:t>Wykorzystując wirtualne elementy sterujące, uczestnik inicjuje procedurę startu BSP, a następnie realizuje manewr zawisu na określonej wysokości przez okres 5 sekund.</w:t>
      </w:r>
    </w:p>
    <w:p w14:paraId="4F86C170" w14:textId="77777777" w:rsidR="003467F6" w:rsidRDefault="00E13EF0">
      <w:pPr>
        <w:numPr>
          <w:ilvl w:val="2"/>
          <w:numId w:val="1"/>
        </w:numPr>
      </w:pPr>
      <w:r>
        <w:t>Uczestnik realizuje lot po trajektorii linearnej w płaszczyźnie horyzontalnej, połączony z manewrami wznoszenia i zniżania zgodnie z instrukcjami otrzymanymi przez instruktora.</w:t>
      </w:r>
    </w:p>
    <w:p w14:paraId="7FB7B45C" w14:textId="77777777" w:rsidR="003467F6" w:rsidRDefault="00E13EF0">
      <w:pPr>
        <w:numPr>
          <w:ilvl w:val="2"/>
          <w:numId w:val="1"/>
        </w:numPr>
      </w:pPr>
      <w:r>
        <w:t>W ramach finalnego elementu fazy wprowadzającej, uczestnik realizuje procedurę lądowania BSP w wyznaczonym punkcie startowym.</w:t>
      </w:r>
    </w:p>
    <w:p w14:paraId="458F22FC" w14:textId="77777777" w:rsidR="003467F6" w:rsidRDefault="00E13EF0">
      <w:pPr>
        <w:numPr>
          <w:ilvl w:val="2"/>
          <w:numId w:val="1"/>
        </w:numPr>
      </w:pPr>
      <w:r>
        <w:t xml:space="preserve">Instruktor dezaktywuje moduły kamery oraz GPS, obligując uczestnika do realizacji operacji w trybie VLOS (Visual Line of </w:t>
      </w:r>
      <w:proofErr w:type="spellStart"/>
      <w:r>
        <w:t>Sight</w:t>
      </w:r>
      <w:proofErr w:type="spellEnd"/>
      <w:r>
        <w:t>).</w:t>
      </w:r>
    </w:p>
    <w:p w14:paraId="1F3DF73D" w14:textId="77777777" w:rsidR="003467F6" w:rsidRDefault="00E13EF0">
      <w:pPr>
        <w:numPr>
          <w:ilvl w:val="2"/>
          <w:numId w:val="1"/>
        </w:numPr>
      </w:pPr>
      <w:r>
        <w:t>Uczestnik powtarza sekwencję operacyjną określoną w punktach 5-7, operując wyłącznie w trybie VLOS, bez wsparcia podglądu wizyjnego z kamery BSP.</w:t>
      </w:r>
    </w:p>
    <w:p w14:paraId="2742A2E6" w14:textId="77777777" w:rsidR="003467F6" w:rsidRDefault="00E13EF0">
      <w:pPr>
        <w:numPr>
          <w:ilvl w:val="2"/>
          <w:numId w:val="1"/>
        </w:numPr>
      </w:pPr>
      <w:r>
        <w:t>Po osiągnięciu wysokości, określonej przez instruktora, w trybie VLOS, uczestnik realizuje procedurę dezaktywacji modułu GPS. Po zapoznaniu się z charakterystyką lotu BSP przy nieaktywnym module GPS, uczestnik reaktywuje moduł i kontynuuje realizację zadań zgodnie z wytycznymi instruktora.</w:t>
      </w:r>
    </w:p>
    <w:p w14:paraId="42700CD3" w14:textId="77777777" w:rsidR="003467F6" w:rsidRDefault="00E13EF0">
      <w:pPr>
        <w:numPr>
          <w:ilvl w:val="2"/>
          <w:numId w:val="1"/>
        </w:numPr>
      </w:pPr>
      <w:r>
        <w:t xml:space="preserve">Po wykonaniu zadań w trybie VLOS, uczestnik ma za zadanie ponownie wylądować. Następnie, uczestnik powtarza pełną sekwencję operacyjną w trybie FPV (First Person </w:t>
      </w:r>
      <w:proofErr w:type="spellStart"/>
      <w:r>
        <w:t>View</w:t>
      </w:r>
      <w:proofErr w:type="spellEnd"/>
      <w:r>
        <w:t>).</w:t>
      </w:r>
    </w:p>
    <w:p w14:paraId="5FA8C820" w14:textId="77777777" w:rsidR="003467F6" w:rsidRDefault="00E13EF0">
      <w:pPr>
        <w:numPr>
          <w:ilvl w:val="2"/>
          <w:numId w:val="1"/>
        </w:numPr>
      </w:pPr>
      <w:r>
        <w:t xml:space="preserve">Uczestnik za kierownictwem instruktora przeprowadza diagnostykę stanu baterii oraz poziomu emisji akustycznej, a następnie realizuje manewr </w:t>
      </w:r>
      <w:r>
        <w:lastRenderedPageBreak/>
        <w:t>wznoszenia do wysokości zapewniającej minimalną percepcję hałasu na poziomie gruntu, po czym realizuje dwie pełne pętle.</w:t>
      </w:r>
    </w:p>
    <w:p w14:paraId="69126CC8" w14:textId="77777777" w:rsidR="003467F6" w:rsidRDefault="00E13EF0">
      <w:pPr>
        <w:numPr>
          <w:ilvl w:val="2"/>
          <w:numId w:val="1"/>
        </w:numPr>
      </w:pPr>
      <w:r>
        <w:t>Po zakończeniu wyznaczonych zadań uczestnik realizuje procedurę lądowania w wyznaczonym punkcie startowym, z zachowaniem odpowiednich środków ostrożności.</w:t>
      </w:r>
    </w:p>
    <w:p w14:paraId="02E429D9" w14:textId="77777777" w:rsidR="003467F6" w:rsidRDefault="00E13EF0">
      <w:pPr>
        <w:numPr>
          <w:ilvl w:val="2"/>
          <w:numId w:val="1"/>
        </w:numPr>
      </w:pPr>
      <w:r>
        <w:t>Uczestnik przeprowadza procedurę dezaktywacji BSP.</w:t>
      </w:r>
    </w:p>
    <w:p w14:paraId="0626209C" w14:textId="77777777" w:rsidR="003467F6" w:rsidRDefault="00E13EF0">
      <w:pPr>
        <w:numPr>
          <w:ilvl w:val="2"/>
          <w:numId w:val="1"/>
        </w:numPr>
      </w:pPr>
      <w:r>
        <w:t>Uczestnik realizuje post-</w:t>
      </w:r>
      <w:proofErr w:type="spellStart"/>
      <w:r>
        <w:t>flight</w:t>
      </w:r>
      <w:proofErr w:type="spellEnd"/>
      <w:r>
        <w:t xml:space="preserve"> </w:t>
      </w:r>
      <w:proofErr w:type="spellStart"/>
      <w:r>
        <w:t>checklist</w:t>
      </w:r>
      <w:proofErr w:type="spellEnd"/>
      <w:r>
        <w:t>.</w:t>
      </w:r>
    </w:p>
    <w:p w14:paraId="7FBDABAE" w14:textId="77777777" w:rsidR="003467F6" w:rsidRDefault="00E13EF0">
      <w:pPr>
        <w:numPr>
          <w:ilvl w:val="2"/>
          <w:numId w:val="1"/>
        </w:numPr>
      </w:pPr>
      <w:r>
        <w:t>Uczestnik wypełnia procedurę notyfikacyjną zakończenia operacji BSP poprzez wirtualny telefon, którego wcześniej użył do zgłoszenia startu.</w:t>
      </w:r>
    </w:p>
    <w:p w14:paraId="2A702D16" w14:textId="77777777" w:rsidR="003467F6" w:rsidRDefault="00E13EF0">
      <w:pPr>
        <w:numPr>
          <w:ilvl w:val="2"/>
          <w:numId w:val="1"/>
        </w:numPr>
      </w:pPr>
      <w:r>
        <w:t>Po zakończeniu scenariusza uczestnik zdejmuje gogle VR i wraz z instruktorem przeprowadza analizę danych telemetrycznych oraz statystyk wykonania zadania.</w:t>
      </w:r>
    </w:p>
    <w:p w14:paraId="2C7E6B80" w14:textId="77777777" w:rsidR="003467F6" w:rsidRDefault="00E13EF0">
      <w:pPr>
        <w:numPr>
          <w:ilvl w:val="2"/>
          <w:numId w:val="1"/>
        </w:numPr>
      </w:pPr>
      <w:r>
        <w:t>Uczestnik opuszcza stanowisko szkoleniowe.</w:t>
      </w:r>
    </w:p>
    <w:p w14:paraId="08EEE46C" w14:textId="77777777" w:rsidR="003467F6" w:rsidRPr="000D7FB5" w:rsidRDefault="00E13EF0">
      <w:pPr>
        <w:numPr>
          <w:ilvl w:val="1"/>
          <w:numId w:val="1"/>
        </w:numPr>
        <w:ind w:hanging="360"/>
        <w:rPr>
          <w:bCs/>
        </w:rPr>
      </w:pPr>
      <w:r w:rsidRPr="000D7FB5">
        <w:rPr>
          <w:b/>
        </w:rPr>
        <w:t>Scenariusz 2</w:t>
      </w:r>
      <w:r w:rsidRPr="000D7FB5">
        <w:rPr>
          <w:bCs/>
        </w:rPr>
        <w:t xml:space="preserve"> - Poszukiwania zaginionych osób</w:t>
      </w:r>
    </w:p>
    <w:p w14:paraId="4FBDAB52" w14:textId="77777777" w:rsidR="003467F6" w:rsidRDefault="00E13EF0">
      <w:pPr>
        <w:numPr>
          <w:ilvl w:val="2"/>
          <w:numId w:val="1"/>
        </w:numPr>
      </w:pPr>
      <w:r>
        <w:t>Uczestnik zapoznaje się z komunikatem inicjującym, przedstawiającym specyfikację zadania, rolę operatora BSP, w którą się wciela, oraz kontekst operacyjny, włączając w to warunki atmosferyczne.</w:t>
      </w:r>
    </w:p>
    <w:p w14:paraId="3A624972" w14:textId="77777777" w:rsidR="003467F6" w:rsidRDefault="00E13EF0">
      <w:pPr>
        <w:numPr>
          <w:ilvl w:val="2"/>
          <w:numId w:val="1"/>
        </w:numPr>
      </w:pPr>
      <w:r>
        <w:t xml:space="preserve">Uczestnik realizuje procedurę </w:t>
      </w:r>
      <w:proofErr w:type="spellStart"/>
      <w:r>
        <w:t>pre-flight</w:t>
      </w:r>
      <w:proofErr w:type="spellEnd"/>
      <w:r>
        <w:t xml:space="preserve"> </w:t>
      </w:r>
      <w:proofErr w:type="spellStart"/>
      <w:r>
        <w:t>checklist</w:t>
      </w:r>
      <w:proofErr w:type="spellEnd"/>
      <w:r>
        <w:t>, obejmującą zestaw standardowych czynności kontrolnych wymaganych przed rozpoczęciem operacji BSP.</w:t>
      </w:r>
    </w:p>
    <w:p w14:paraId="67A88064" w14:textId="77777777" w:rsidR="003467F6" w:rsidRDefault="00E13EF0">
      <w:pPr>
        <w:numPr>
          <w:ilvl w:val="2"/>
          <w:numId w:val="1"/>
        </w:numPr>
      </w:pPr>
      <w:r>
        <w:t>Uczestnik uzyskuje dane dotyczące parametrów obszaru poszukiwań, liczby poszukiwanych osób, oraz ich ostatniej znanej lokalizacji.</w:t>
      </w:r>
    </w:p>
    <w:p w14:paraId="46525E56" w14:textId="77777777" w:rsidR="003467F6" w:rsidRDefault="00E13EF0">
      <w:pPr>
        <w:numPr>
          <w:ilvl w:val="2"/>
          <w:numId w:val="1"/>
        </w:numPr>
      </w:pPr>
      <w:r>
        <w:t>Uczestnik inicjuje procedurę notyfikacyjną poprzez wykorzystanie urządzenia mobilnego zlokalizowanego w środowisku wirtualnym, zgłaszając intencję wykonania operacji BSP.</w:t>
      </w:r>
    </w:p>
    <w:p w14:paraId="60F9D332" w14:textId="77777777" w:rsidR="003467F6" w:rsidRDefault="00E13EF0">
      <w:pPr>
        <w:numPr>
          <w:ilvl w:val="2"/>
          <w:numId w:val="1"/>
        </w:numPr>
      </w:pPr>
      <w:r>
        <w:t>Uczestnik uruchamia BSP zgodnie z procedurą operacyjną określoną w sekcji VIV (Sterowanie) niniejszej dokumentacji.</w:t>
      </w:r>
    </w:p>
    <w:p w14:paraId="6B2809B7" w14:textId="77777777" w:rsidR="003467F6" w:rsidRDefault="00E13EF0">
      <w:pPr>
        <w:numPr>
          <w:ilvl w:val="2"/>
          <w:numId w:val="1"/>
        </w:numPr>
      </w:pPr>
      <w:r>
        <w:lastRenderedPageBreak/>
        <w:t>Uczestnik nawiguje BSP w kierunku ostatniej znanej pozycji osób poszukiwanych i realizuje lot patrolowy nad wyznaczonym obszarem.</w:t>
      </w:r>
    </w:p>
    <w:p w14:paraId="7A09A88A" w14:textId="77777777" w:rsidR="003467F6" w:rsidRDefault="00E13EF0">
      <w:pPr>
        <w:numPr>
          <w:ilvl w:val="2"/>
          <w:numId w:val="1"/>
        </w:numPr>
      </w:pPr>
      <w:r>
        <w:t>Uczestnik realizuje procedurę poszukiwawczą, mającą na celu identyfikację maksymalnej liczby osób poszukiwanych w minimalnym czasie, przy czym stopień trudności tego zadania jest zależny od parametrów wybranych na początku misji przez instruktora.</w:t>
      </w:r>
    </w:p>
    <w:p w14:paraId="5F93A819" w14:textId="77777777" w:rsidR="003467F6" w:rsidRDefault="00E13EF0">
      <w:pPr>
        <w:numPr>
          <w:ilvl w:val="2"/>
          <w:numId w:val="1"/>
        </w:numPr>
      </w:pPr>
      <w:r>
        <w:t>Uczestnik lokalizuje osoby poszukiwane i dokumentuje ich współrzędne w systemie kartograficznym BSP.</w:t>
      </w:r>
    </w:p>
    <w:p w14:paraId="3EA4AB90" w14:textId="77777777" w:rsidR="003467F6" w:rsidRDefault="00E13EF0">
      <w:pPr>
        <w:numPr>
          <w:ilvl w:val="2"/>
          <w:numId w:val="1"/>
        </w:numPr>
      </w:pPr>
      <w:r>
        <w:t>Uczestnik podejmuje decyzję o powrocie do punktu startowego na podstawie dostępnych danych telemetrycznych i środowiskowych.</w:t>
      </w:r>
    </w:p>
    <w:p w14:paraId="4E567D0B" w14:textId="77777777" w:rsidR="003467F6" w:rsidRDefault="00E13EF0">
      <w:pPr>
        <w:numPr>
          <w:ilvl w:val="2"/>
          <w:numId w:val="1"/>
        </w:numPr>
      </w:pPr>
      <w:r>
        <w:t>Po powrocie do punktu startowego uczestnik realizuje procedurę zakończenia misji, obejmującą dezaktywację BSP, realizację post-</w:t>
      </w:r>
      <w:proofErr w:type="spellStart"/>
      <w:r>
        <w:t>flight</w:t>
      </w:r>
      <w:proofErr w:type="spellEnd"/>
      <w:r>
        <w:t xml:space="preserve"> </w:t>
      </w:r>
      <w:proofErr w:type="spellStart"/>
      <w:r>
        <w:t>checklist</w:t>
      </w:r>
      <w:proofErr w:type="spellEnd"/>
      <w:r>
        <w:t xml:space="preserve"> oraz notyfikację zakończenia operacji.</w:t>
      </w:r>
    </w:p>
    <w:p w14:paraId="6707DEA5" w14:textId="77777777" w:rsidR="003467F6" w:rsidRDefault="00E13EF0">
      <w:pPr>
        <w:numPr>
          <w:ilvl w:val="1"/>
          <w:numId w:val="1"/>
        </w:numPr>
        <w:ind w:hanging="360"/>
        <w:rPr>
          <w:b/>
        </w:rPr>
      </w:pPr>
      <w:r>
        <w:rPr>
          <w:b/>
        </w:rPr>
        <w:t xml:space="preserve">Scenariusz 3 </w:t>
      </w:r>
      <w:r w:rsidRPr="000D7FB5">
        <w:rPr>
          <w:bCs/>
        </w:rPr>
        <w:t>- Transport powietrzny</w:t>
      </w:r>
    </w:p>
    <w:p w14:paraId="33F53D01" w14:textId="77777777" w:rsidR="003467F6" w:rsidRDefault="00E13EF0">
      <w:pPr>
        <w:numPr>
          <w:ilvl w:val="2"/>
          <w:numId w:val="1"/>
        </w:numPr>
      </w:pPr>
      <w:r>
        <w:t>Uczestnik zapoznaje się z komunikatem inicjującym, przedstawiającym specyfikację zadania, rolę operatora BSP, w którą się wciela, oraz kontekst operacyjny, włączając w to warunki atmosferyczne.</w:t>
      </w:r>
    </w:p>
    <w:p w14:paraId="623219C4" w14:textId="77777777" w:rsidR="003467F6" w:rsidRDefault="00E13EF0">
      <w:pPr>
        <w:numPr>
          <w:ilvl w:val="2"/>
          <w:numId w:val="1"/>
        </w:numPr>
      </w:pPr>
      <w:r>
        <w:t xml:space="preserve">Uczestnik realizuje procedurę </w:t>
      </w:r>
      <w:proofErr w:type="spellStart"/>
      <w:r>
        <w:t>pre-flight</w:t>
      </w:r>
      <w:proofErr w:type="spellEnd"/>
      <w:r>
        <w:t xml:space="preserve"> </w:t>
      </w:r>
      <w:proofErr w:type="spellStart"/>
      <w:r>
        <w:t>checklist</w:t>
      </w:r>
      <w:proofErr w:type="spellEnd"/>
      <w:r>
        <w:t>, obejmującą zestaw standardowych czynności kontrolnych wymaganych przed rozpoczęciem operacji BSP.</w:t>
      </w:r>
    </w:p>
    <w:p w14:paraId="37135C34" w14:textId="77777777" w:rsidR="003467F6" w:rsidRDefault="00E13EF0">
      <w:pPr>
        <w:numPr>
          <w:ilvl w:val="2"/>
          <w:numId w:val="1"/>
        </w:numPr>
      </w:pPr>
      <w:r>
        <w:t>Uczestnik przeprowadza analizę dostępnych widoków kartograficznych oraz punktów docelowych dostawy. Uczestnik opracowuje optymalną trasę przelotu, z uwzględnieniem wysokości, czasu trwania misji oraz parametrów energetycznych baterii.</w:t>
      </w:r>
    </w:p>
    <w:p w14:paraId="7CC51539" w14:textId="77777777" w:rsidR="003467F6" w:rsidRDefault="00E13EF0">
      <w:pPr>
        <w:numPr>
          <w:ilvl w:val="2"/>
          <w:numId w:val="1"/>
        </w:numPr>
      </w:pPr>
      <w:r>
        <w:t>Uczestnik realizuje procedurę przygotowania ładunku.</w:t>
      </w:r>
    </w:p>
    <w:p w14:paraId="2FCC1FD9" w14:textId="77777777" w:rsidR="003467F6" w:rsidRDefault="00E13EF0">
      <w:pPr>
        <w:numPr>
          <w:ilvl w:val="2"/>
          <w:numId w:val="1"/>
        </w:numPr>
      </w:pPr>
      <w:r>
        <w:t>Uczestnik zapoznaje się z funkcjonalnością systemu zwalniania ładunku.</w:t>
      </w:r>
    </w:p>
    <w:p w14:paraId="44EE904A" w14:textId="77777777" w:rsidR="003467F6" w:rsidRDefault="00E13EF0">
      <w:pPr>
        <w:numPr>
          <w:ilvl w:val="2"/>
          <w:numId w:val="1"/>
        </w:numPr>
      </w:pPr>
      <w:r>
        <w:t>Uczestnik inicjuje procedurę startu oraz realizuje lot zgodnie z zaplanowaną trajektorią.</w:t>
      </w:r>
    </w:p>
    <w:p w14:paraId="0F22332A" w14:textId="77777777" w:rsidR="003467F6" w:rsidRDefault="00E13EF0">
      <w:pPr>
        <w:numPr>
          <w:ilvl w:val="2"/>
          <w:numId w:val="1"/>
        </w:numPr>
      </w:pPr>
      <w:r>
        <w:lastRenderedPageBreak/>
        <w:t>Uczestnik przeprowadza procedurę precyzyjnego zrzutu ładunku w wyznaczonych punktach, wykorzystując dedykowane elementy sterujące.</w:t>
      </w:r>
    </w:p>
    <w:p w14:paraId="2E11824A" w14:textId="77777777" w:rsidR="003467F6" w:rsidRDefault="00E13EF0">
      <w:pPr>
        <w:numPr>
          <w:ilvl w:val="2"/>
          <w:numId w:val="1"/>
        </w:numPr>
      </w:pPr>
      <w:r>
        <w:t>Uczestnik realizuje procedurę zrzutu finalnego ładunku w warunkach podwyższonej presji czasowej.</w:t>
      </w:r>
    </w:p>
    <w:p w14:paraId="70C014EA" w14:textId="77777777" w:rsidR="003467F6" w:rsidRDefault="00E13EF0">
      <w:pPr>
        <w:numPr>
          <w:ilvl w:val="2"/>
          <w:numId w:val="1"/>
        </w:numPr>
      </w:pPr>
      <w:r>
        <w:t>Po zakończeniu dostawy wszystkich ładunków uczestnik realizuje procedurę powrotu do punktu startowego.</w:t>
      </w:r>
    </w:p>
    <w:p w14:paraId="13EF5284" w14:textId="77777777" w:rsidR="003467F6" w:rsidRDefault="00E13EF0">
      <w:pPr>
        <w:numPr>
          <w:ilvl w:val="2"/>
          <w:numId w:val="1"/>
        </w:numPr>
      </w:pPr>
      <w:r>
        <w:t>Uczestnik otrzymuje dane analityczne dotyczące czasu trwania misji oraz dystansu operacyjnego.</w:t>
      </w:r>
    </w:p>
    <w:p w14:paraId="5F3D4F05" w14:textId="77777777" w:rsidR="003467F6" w:rsidRDefault="00E13EF0">
      <w:pPr>
        <w:numPr>
          <w:ilvl w:val="2"/>
          <w:numId w:val="1"/>
        </w:numPr>
      </w:pPr>
      <w:r>
        <w:t>Uczestnik otrzymuje podsumowanie efektywności misji, obejmujące liczbę skutecznie dostarczonych ładunków.</w:t>
      </w:r>
    </w:p>
    <w:p w14:paraId="4E0D4E14" w14:textId="77777777" w:rsidR="003467F6" w:rsidRDefault="00E13EF0">
      <w:pPr>
        <w:numPr>
          <w:ilvl w:val="2"/>
          <w:numId w:val="1"/>
        </w:numPr>
      </w:pPr>
      <w:r>
        <w:t>Symulacja zostaje zakończona.</w:t>
      </w:r>
    </w:p>
    <w:p w14:paraId="186FA0B5" w14:textId="6065E091" w:rsidR="003467F6" w:rsidRDefault="00E13EF0" w:rsidP="000047DD">
      <w:pPr>
        <w:numPr>
          <w:ilvl w:val="0"/>
          <w:numId w:val="1"/>
        </w:numPr>
        <w:ind w:left="0" w:hanging="357"/>
      </w:pPr>
      <w:r>
        <w:t>Po zakończeniu wszystkich scenariuszy szkoleniowych uczestnik realizuje test końcowy, analogiczny do testu wstępnego, służący ocenie przyrostu kompetencji operacyjnych.</w:t>
      </w:r>
    </w:p>
    <w:p w14:paraId="0D74EEBD" w14:textId="77777777" w:rsidR="003467F6" w:rsidRDefault="00E13EF0">
      <w:pPr>
        <w:ind w:left="0"/>
      </w:pPr>
      <w:r>
        <w:t>W momencie gdy instruktor wyda polecenie uruchomienia silników BSP, uczestnik powinien ustawić elementy sterujące w pozycji przedstawionej na Rys. 3-1, utrzymując tę konfigurację do momentu aktywacji silników:</w:t>
      </w:r>
    </w:p>
    <w:p w14:paraId="6B9A9915" w14:textId="77777777" w:rsidR="000047DD" w:rsidRDefault="00E13EF0">
      <w:pPr>
        <w:ind w:left="0"/>
        <w:rPr>
          <w:b/>
          <w:sz w:val="22"/>
          <w:szCs w:val="22"/>
        </w:rPr>
      </w:pPr>
      <w:r>
        <w:rPr>
          <w:noProof/>
        </w:rPr>
        <w:drawing>
          <wp:inline distT="114300" distB="114300" distL="114300" distR="114300" wp14:anchorId="48695346" wp14:editId="24EFBB6F">
            <wp:extent cx="4665600" cy="2624400"/>
            <wp:effectExtent l="0" t="0" r="0" b="0"/>
            <wp:docPr id="2069789017" name="image10.png" descr="Rys 3-1. obraz przedstawia kontrolery Meta Quest 3, w którym lewy drążek skierowany jest w dół i w prawo, a prawo drążek w dół i w lewo. "/>
            <wp:cNvGraphicFramePr/>
            <a:graphic xmlns:a="http://schemas.openxmlformats.org/drawingml/2006/main">
              <a:graphicData uri="http://schemas.openxmlformats.org/drawingml/2006/picture">
                <pic:pic xmlns:pic="http://schemas.openxmlformats.org/drawingml/2006/picture">
                  <pic:nvPicPr>
                    <pic:cNvPr id="0" name="image10.png" descr="Rys 3-1. obraz przedstawia kontrolery Meta Quest 3, w którym lewy drążek skierowany jest w dół i w prawo, a prawo drążek w dół i w lewo. "/>
                    <pic:cNvPicPr preferRelativeResize="0"/>
                  </pic:nvPicPr>
                  <pic:blipFill>
                    <a:blip r:embed="rId14"/>
                    <a:srcRect/>
                    <a:stretch>
                      <a:fillRect/>
                    </a:stretch>
                  </pic:blipFill>
                  <pic:spPr>
                    <a:xfrm>
                      <a:off x="0" y="0"/>
                      <a:ext cx="4665600" cy="2624400"/>
                    </a:xfrm>
                    <a:prstGeom prst="rect">
                      <a:avLst/>
                    </a:prstGeom>
                    <a:ln/>
                  </pic:spPr>
                </pic:pic>
              </a:graphicData>
            </a:graphic>
          </wp:inline>
        </w:drawing>
      </w:r>
    </w:p>
    <w:p w14:paraId="59F777DD" w14:textId="0B4B8784" w:rsidR="003467F6" w:rsidRDefault="00E13EF0">
      <w:pPr>
        <w:ind w:left="0"/>
      </w:pPr>
      <w:r>
        <w:rPr>
          <w:b/>
          <w:sz w:val="22"/>
          <w:szCs w:val="22"/>
        </w:rPr>
        <w:t>Rys 3-1.</w:t>
      </w:r>
      <w:r>
        <w:rPr>
          <w:sz w:val="22"/>
          <w:szCs w:val="22"/>
        </w:rPr>
        <w:t xml:space="preserve"> obraz przedstawia kontrolery Meta Quest 3, w którym lewy drążek skierowany jest w dół i w prawo, a prawo drążek w dół i w lewo. </w:t>
      </w:r>
    </w:p>
    <w:p w14:paraId="05BE43C3" w14:textId="77777777" w:rsidR="003467F6" w:rsidRPr="00C61E14" w:rsidRDefault="00E13EF0">
      <w:pPr>
        <w:pStyle w:val="Nagwek1"/>
        <w:numPr>
          <w:ilvl w:val="0"/>
          <w:numId w:val="11"/>
        </w:numPr>
        <w:shd w:val="clear" w:color="auto" w:fill="D0CECE"/>
        <w:spacing w:before="200" w:after="200"/>
        <w:ind w:left="0" w:hanging="426"/>
        <w:rPr>
          <w:caps w:val="0"/>
          <w:color w:val="000000"/>
          <w:sz w:val="28"/>
          <w:szCs w:val="28"/>
        </w:rPr>
      </w:pPr>
      <w:bookmarkStart w:id="4" w:name="_Toc192249830"/>
      <w:r w:rsidRPr="00C61E14">
        <w:rPr>
          <w:caps w:val="0"/>
          <w:color w:val="000000"/>
          <w:sz w:val="28"/>
          <w:szCs w:val="28"/>
        </w:rPr>
        <w:lastRenderedPageBreak/>
        <w:t>Korzystanie z symulatora przez personel techniczny – utrzymanie symulatora w pełnej sprawności</w:t>
      </w:r>
      <w:bookmarkEnd w:id="4"/>
    </w:p>
    <w:p w14:paraId="6F3A4795" w14:textId="77777777" w:rsidR="003467F6" w:rsidRDefault="00E13EF0">
      <w:pPr>
        <w:numPr>
          <w:ilvl w:val="0"/>
          <w:numId w:val="12"/>
        </w:numPr>
        <w:ind w:left="283" w:hanging="360"/>
      </w:pPr>
      <w:r>
        <w:t>Wszystkie osoby korzystające z symulatora są zobowiązane do przestrzegania ogólnych zasad bezpieczeństwa i higieny pracy, ze szczególnym uwzględnieniem specyfiki korzystania z urządzeń wirtualnej rzeczywistości.</w:t>
      </w:r>
    </w:p>
    <w:p w14:paraId="29D924BA" w14:textId="77777777" w:rsidR="003467F6" w:rsidRDefault="00E13EF0">
      <w:pPr>
        <w:numPr>
          <w:ilvl w:val="0"/>
          <w:numId w:val="12"/>
        </w:numPr>
        <w:ind w:left="283" w:hanging="360"/>
      </w:pPr>
      <w:r>
        <w:t>Procedury konserwacyjne obejmują zarówno aspekty sprzętowe, jak i programowe, mające na celu zapewnienie długotrwałej i bezawaryjnej pracy wszystkich elementów symulatora.</w:t>
      </w:r>
    </w:p>
    <w:p w14:paraId="0A62C851" w14:textId="77777777" w:rsidR="003467F6" w:rsidRDefault="00E13EF0">
      <w:pPr>
        <w:numPr>
          <w:ilvl w:val="0"/>
          <w:numId w:val="12"/>
        </w:numPr>
        <w:ind w:left="283" w:hanging="360"/>
      </w:pPr>
      <w:r>
        <w:t>Główne zadania konserwacyjne:</w:t>
      </w:r>
    </w:p>
    <w:p w14:paraId="0AAB8F9D" w14:textId="77777777" w:rsidR="003467F6" w:rsidRDefault="00E13EF0">
      <w:pPr>
        <w:numPr>
          <w:ilvl w:val="1"/>
          <w:numId w:val="12"/>
        </w:numPr>
        <w:ind w:hanging="360"/>
      </w:pPr>
      <w:r>
        <w:t>Konserwacja gogli VR:</w:t>
      </w:r>
    </w:p>
    <w:p w14:paraId="72B138BF" w14:textId="77777777" w:rsidR="003467F6" w:rsidRDefault="00E13EF0">
      <w:pPr>
        <w:numPr>
          <w:ilvl w:val="2"/>
          <w:numId w:val="12"/>
        </w:numPr>
      </w:pPr>
      <w:r>
        <w:t xml:space="preserve">Czyszczenie soczewek specjalistycznymi ściereczkami </w:t>
      </w:r>
      <w:proofErr w:type="spellStart"/>
      <w:r>
        <w:t>mikrofibrą</w:t>
      </w:r>
      <w:proofErr w:type="spellEnd"/>
      <w:r>
        <w:t xml:space="preserve"> i płynami dedykowanymi do optyki VR;</w:t>
      </w:r>
    </w:p>
    <w:p w14:paraId="13DAF8DE" w14:textId="77777777" w:rsidR="003467F6" w:rsidRDefault="00E13EF0">
      <w:pPr>
        <w:numPr>
          <w:ilvl w:val="2"/>
          <w:numId w:val="12"/>
        </w:numPr>
      </w:pPr>
      <w:r>
        <w:t>Kontrola stanu pasków mocujących i ich wymiana w przypadku zużycia;</w:t>
      </w:r>
    </w:p>
    <w:p w14:paraId="528A0B54" w14:textId="77777777" w:rsidR="003467F6" w:rsidRDefault="00E13EF0">
      <w:pPr>
        <w:numPr>
          <w:ilvl w:val="2"/>
          <w:numId w:val="12"/>
        </w:numPr>
      </w:pPr>
      <w:r>
        <w:t>Kalibracja sensorów ruchu zgodnie z procedurą producenta;</w:t>
      </w:r>
    </w:p>
    <w:p w14:paraId="14E17594" w14:textId="77777777" w:rsidR="003467F6" w:rsidRDefault="00E13EF0">
      <w:pPr>
        <w:numPr>
          <w:ilvl w:val="1"/>
          <w:numId w:val="12"/>
        </w:numPr>
        <w:ind w:hanging="360"/>
      </w:pPr>
      <w:r>
        <w:t>Przegląd kontrolerów, w tym sprawdzenie stanu przycisków, joysticków oraz systemu haptycznego;</w:t>
      </w:r>
    </w:p>
    <w:p w14:paraId="28685D00" w14:textId="77777777" w:rsidR="003467F6" w:rsidRDefault="00E13EF0">
      <w:pPr>
        <w:numPr>
          <w:ilvl w:val="1"/>
          <w:numId w:val="12"/>
        </w:numPr>
        <w:ind w:hanging="360"/>
      </w:pPr>
      <w:r>
        <w:t>Konserwacja stacji roboczych:</w:t>
      </w:r>
    </w:p>
    <w:p w14:paraId="46C47F3F" w14:textId="77777777" w:rsidR="003467F6" w:rsidRDefault="00E13EF0">
      <w:pPr>
        <w:numPr>
          <w:ilvl w:val="2"/>
          <w:numId w:val="12"/>
        </w:numPr>
      </w:pPr>
      <w:r>
        <w:t>Czyszczenie systemów chłodzenia z kurzu za pomocą sprężonego powietrza;</w:t>
      </w:r>
    </w:p>
    <w:p w14:paraId="7B528134" w14:textId="77777777" w:rsidR="003467F6" w:rsidRDefault="00E13EF0">
      <w:pPr>
        <w:numPr>
          <w:ilvl w:val="2"/>
          <w:numId w:val="12"/>
        </w:numPr>
      </w:pPr>
      <w:r>
        <w:t>Sprawdzanie temperatur pracy podzespołów podczas symulacji;</w:t>
      </w:r>
    </w:p>
    <w:p w14:paraId="2733A89F" w14:textId="77777777" w:rsidR="003467F6" w:rsidRDefault="00E13EF0">
      <w:pPr>
        <w:numPr>
          <w:ilvl w:val="2"/>
          <w:numId w:val="12"/>
        </w:numPr>
      </w:pPr>
      <w:r>
        <w:t>Wprowadzanie poprawek bezpieczeństwa do systemu operacyjnego;</w:t>
      </w:r>
    </w:p>
    <w:p w14:paraId="2657E4B2" w14:textId="58DA19FA" w:rsidR="003467F6" w:rsidRDefault="00E13EF0" w:rsidP="005B1202">
      <w:pPr>
        <w:numPr>
          <w:ilvl w:val="1"/>
          <w:numId w:val="12"/>
        </w:numPr>
        <w:ind w:left="0" w:hanging="360"/>
      </w:pPr>
      <w:r>
        <w:t>Weryfikacja stanu infrastruktury sieciowej, w tym sprawdzenie jakości połączeń bezprzewodowych i przewodowych.</w:t>
      </w:r>
      <w:r>
        <w:br w:type="page"/>
      </w:r>
    </w:p>
    <w:p w14:paraId="14ED4946" w14:textId="77777777" w:rsidR="003467F6" w:rsidRDefault="00E13EF0" w:rsidP="00C61E14">
      <w:pPr>
        <w:pStyle w:val="Nagwek1"/>
        <w:numPr>
          <w:ilvl w:val="0"/>
          <w:numId w:val="11"/>
        </w:numPr>
        <w:shd w:val="clear" w:color="auto" w:fill="D0CECE"/>
        <w:spacing w:before="200" w:after="200"/>
        <w:ind w:left="0" w:hanging="426"/>
        <w:rPr>
          <w:color w:val="000000"/>
          <w:sz w:val="32"/>
          <w:szCs w:val="32"/>
        </w:rPr>
      </w:pPr>
      <w:bookmarkStart w:id="5" w:name="_Toc192249831"/>
      <w:r w:rsidRPr="00C61E14">
        <w:rPr>
          <w:caps w:val="0"/>
          <w:color w:val="000000"/>
          <w:sz w:val="28"/>
          <w:szCs w:val="28"/>
        </w:rPr>
        <w:lastRenderedPageBreak/>
        <w:t>Informacje z zakresu BHP dotyczące korzystania z symulatora</w:t>
      </w:r>
      <w:bookmarkEnd w:id="5"/>
    </w:p>
    <w:p w14:paraId="6E20B647" w14:textId="77777777" w:rsidR="003467F6" w:rsidRDefault="00E13EF0">
      <w:pPr>
        <w:numPr>
          <w:ilvl w:val="0"/>
          <w:numId w:val="9"/>
        </w:numPr>
        <w:rPr>
          <w:rFonts w:ascii="Times New Roman" w:eastAsia="Times New Roman" w:hAnsi="Times New Roman" w:cs="Times New Roman"/>
        </w:rPr>
      </w:pPr>
      <w:r>
        <w:t>Wszystkie osoby korzystające z symulatora są zobowiązane do przestrzegania ogólnych zasad bezpieczeństwa i higieny pracy, ze szczególnym uwzględnieniem specyfiki korzystania z urządzeń wirtualnej rzeczywistości.</w:t>
      </w:r>
    </w:p>
    <w:p w14:paraId="77FDB64E" w14:textId="77777777" w:rsidR="003467F6" w:rsidRDefault="00E13EF0">
      <w:pPr>
        <w:numPr>
          <w:ilvl w:val="0"/>
          <w:numId w:val="9"/>
        </w:numPr>
        <w:rPr>
          <w:rFonts w:ascii="Times New Roman" w:eastAsia="Times New Roman" w:hAnsi="Times New Roman" w:cs="Times New Roman"/>
        </w:rPr>
      </w:pPr>
      <w:r>
        <w:t>Przed pierwszym użyciem symulatora każdy użytkownik musi zapoznać się z niniejszą instrukcją oraz przejść krótkie szkolenie z zasad bezpiecznego korzystania z gogli VR.</w:t>
      </w:r>
    </w:p>
    <w:p w14:paraId="5B47B98F" w14:textId="77777777" w:rsidR="003467F6" w:rsidRDefault="00E13EF0">
      <w:pPr>
        <w:numPr>
          <w:ilvl w:val="0"/>
          <w:numId w:val="9"/>
        </w:numPr>
        <w:rPr>
          <w:rFonts w:ascii="Times New Roman" w:eastAsia="Times New Roman" w:hAnsi="Times New Roman" w:cs="Times New Roman"/>
        </w:rPr>
      </w:pPr>
      <w:r>
        <w:t>Zasady bezpieczeństwa podczas korzystania z symulatora:</w:t>
      </w:r>
    </w:p>
    <w:p w14:paraId="69A67A17" w14:textId="77777777" w:rsidR="003467F6" w:rsidRDefault="00E13EF0">
      <w:pPr>
        <w:numPr>
          <w:ilvl w:val="1"/>
          <w:numId w:val="9"/>
        </w:numPr>
        <w:ind w:hanging="360"/>
        <w:rPr>
          <w:rFonts w:ascii="Times New Roman" w:eastAsia="Times New Roman" w:hAnsi="Times New Roman" w:cs="Times New Roman"/>
        </w:rPr>
      </w:pPr>
      <w:r>
        <w:rPr>
          <w:b/>
        </w:rPr>
        <w:t>Organizacja przestrzeni</w:t>
      </w:r>
      <w:r>
        <w:t>:</w:t>
      </w:r>
    </w:p>
    <w:p w14:paraId="32A6A7B6" w14:textId="77777777" w:rsidR="003467F6" w:rsidRDefault="00E13EF0">
      <w:pPr>
        <w:numPr>
          <w:ilvl w:val="2"/>
          <w:numId w:val="9"/>
        </w:numPr>
        <w:rPr>
          <w:rFonts w:ascii="Times New Roman" w:eastAsia="Times New Roman" w:hAnsi="Times New Roman" w:cs="Times New Roman"/>
        </w:rPr>
      </w:pPr>
      <w:r>
        <w:t>Stanowiska uczestników powinny być umieszczone w odległości minimum 1,5 metra od siebie, aby zapobiec kolizjom podczas korzystania z gogli VR;</w:t>
      </w:r>
    </w:p>
    <w:p w14:paraId="3E7CC569" w14:textId="77777777" w:rsidR="003467F6" w:rsidRDefault="00E13EF0">
      <w:pPr>
        <w:numPr>
          <w:ilvl w:val="2"/>
          <w:numId w:val="9"/>
        </w:numPr>
        <w:rPr>
          <w:rFonts w:ascii="Times New Roman" w:eastAsia="Times New Roman" w:hAnsi="Times New Roman" w:cs="Times New Roman"/>
        </w:rPr>
      </w:pPr>
      <w:r>
        <w:t>Obszar wokół stanowiska musi być wolny od przeszkód, kabli i innych elementów, o które użytkownik mógłby się potknąć;</w:t>
      </w:r>
    </w:p>
    <w:p w14:paraId="53AE343F" w14:textId="3AE15506" w:rsidR="003467F6" w:rsidRPr="00450F11" w:rsidRDefault="00E13EF0">
      <w:pPr>
        <w:numPr>
          <w:ilvl w:val="2"/>
          <w:numId w:val="9"/>
        </w:numPr>
        <w:rPr>
          <w:rFonts w:ascii="Times New Roman" w:eastAsia="Times New Roman" w:hAnsi="Times New Roman" w:cs="Times New Roman"/>
        </w:rPr>
      </w:pPr>
      <w:r>
        <w:t>Pomieszczenie powinno być dobrze oświetlone, ale bez bezpośredniego światła słonecznego padającego na gogle VR lub sensory</w:t>
      </w:r>
      <w:r w:rsidR="006863D3">
        <w:t>, zaleca się zamontowanie żaluzji oraz umieszczenie tablicy ostrzegawczej, zobacz punkt X</w:t>
      </w:r>
      <w:r>
        <w:t>;</w:t>
      </w:r>
    </w:p>
    <w:p w14:paraId="69924716" w14:textId="04EB0407" w:rsidR="00450F11" w:rsidRDefault="00450F11">
      <w:pPr>
        <w:numPr>
          <w:ilvl w:val="2"/>
          <w:numId w:val="9"/>
        </w:numPr>
        <w:rPr>
          <w:rFonts w:ascii="Times New Roman" w:eastAsia="Times New Roman" w:hAnsi="Times New Roman" w:cs="Times New Roman"/>
        </w:rPr>
      </w:pPr>
      <w:r>
        <w:t>Do pomieszczenie nie można wnosić napoi.</w:t>
      </w:r>
    </w:p>
    <w:p w14:paraId="5D172C54" w14:textId="77777777" w:rsidR="003467F6" w:rsidRDefault="00E13EF0">
      <w:pPr>
        <w:numPr>
          <w:ilvl w:val="1"/>
          <w:numId w:val="9"/>
        </w:numPr>
        <w:ind w:hanging="360"/>
        <w:rPr>
          <w:rFonts w:ascii="Times New Roman" w:eastAsia="Times New Roman" w:hAnsi="Times New Roman" w:cs="Times New Roman"/>
        </w:rPr>
      </w:pPr>
      <w:r>
        <w:rPr>
          <w:b/>
        </w:rPr>
        <w:t>Ograniczenia zdrowotne</w:t>
      </w:r>
      <w:r>
        <w:t xml:space="preserve"> — z symulatora nie powinny korzystać osoby:</w:t>
      </w:r>
    </w:p>
    <w:p w14:paraId="5D0C6B61" w14:textId="704FF750" w:rsidR="003467F6" w:rsidRDefault="00E13EF0">
      <w:pPr>
        <w:numPr>
          <w:ilvl w:val="2"/>
          <w:numId w:val="9"/>
        </w:numPr>
        <w:rPr>
          <w:rFonts w:ascii="Times New Roman" w:eastAsia="Times New Roman" w:hAnsi="Times New Roman" w:cs="Times New Roman"/>
        </w:rPr>
      </w:pPr>
      <w:r>
        <w:t>Cierpiące na epilepsję lub inne schorzenia neurologiczne</w:t>
      </w:r>
      <w:r w:rsidR="005B1202">
        <w:t>;</w:t>
      </w:r>
    </w:p>
    <w:p w14:paraId="40805269" w14:textId="77777777" w:rsidR="003467F6" w:rsidRDefault="00E13EF0">
      <w:pPr>
        <w:numPr>
          <w:ilvl w:val="2"/>
          <w:numId w:val="9"/>
        </w:numPr>
        <w:rPr>
          <w:rFonts w:ascii="Times New Roman" w:eastAsia="Times New Roman" w:hAnsi="Times New Roman" w:cs="Times New Roman"/>
        </w:rPr>
      </w:pPr>
      <w:r>
        <w:t>Z poważnymi wadami wzroku, jeśli nie są skorygowane;</w:t>
      </w:r>
    </w:p>
    <w:p w14:paraId="15E66EBF" w14:textId="77777777" w:rsidR="003467F6" w:rsidRDefault="00E13EF0">
      <w:pPr>
        <w:numPr>
          <w:ilvl w:val="2"/>
          <w:numId w:val="9"/>
        </w:numPr>
        <w:rPr>
          <w:rFonts w:ascii="Times New Roman" w:eastAsia="Times New Roman" w:hAnsi="Times New Roman" w:cs="Times New Roman"/>
        </w:rPr>
      </w:pPr>
      <w:r>
        <w:t>W stanie wskazującym na spożycie alkoholu lub innych substancji psychoaktywnych;</w:t>
      </w:r>
    </w:p>
    <w:p w14:paraId="44335EBE" w14:textId="77777777" w:rsidR="003467F6" w:rsidRDefault="00E13EF0">
      <w:pPr>
        <w:numPr>
          <w:ilvl w:val="1"/>
          <w:numId w:val="9"/>
        </w:numPr>
        <w:ind w:hanging="360"/>
        <w:rPr>
          <w:rFonts w:ascii="Times New Roman" w:eastAsia="Times New Roman" w:hAnsi="Times New Roman" w:cs="Times New Roman"/>
        </w:rPr>
      </w:pPr>
      <w:r>
        <w:rPr>
          <w:b/>
        </w:rPr>
        <w:t>Limity czasowe</w:t>
      </w:r>
      <w:r>
        <w:t xml:space="preserve"> — zaleca się, aby pojedyncza sesja nie przekraczała 45 minut, po czym powinna nastąpić co najmniej 15-minutowa przerwa;</w:t>
      </w:r>
    </w:p>
    <w:p w14:paraId="01C67233" w14:textId="77777777" w:rsidR="003467F6" w:rsidRDefault="00E13EF0">
      <w:pPr>
        <w:numPr>
          <w:ilvl w:val="1"/>
          <w:numId w:val="9"/>
        </w:numPr>
        <w:ind w:hanging="360"/>
        <w:rPr>
          <w:rFonts w:ascii="Times New Roman" w:eastAsia="Times New Roman" w:hAnsi="Times New Roman" w:cs="Times New Roman"/>
        </w:rPr>
      </w:pPr>
      <w:r>
        <w:rPr>
          <w:b/>
        </w:rPr>
        <w:t>Postępowanie w sytuacjach awaryjnych</w:t>
      </w:r>
      <w:r>
        <w:t>:</w:t>
      </w:r>
    </w:p>
    <w:p w14:paraId="3517B378" w14:textId="77777777" w:rsidR="003467F6" w:rsidRDefault="00E13EF0">
      <w:pPr>
        <w:numPr>
          <w:ilvl w:val="2"/>
          <w:numId w:val="9"/>
        </w:numPr>
        <w:rPr>
          <w:rFonts w:ascii="Times New Roman" w:eastAsia="Times New Roman" w:hAnsi="Times New Roman" w:cs="Times New Roman"/>
        </w:rPr>
      </w:pPr>
      <w:r>
        <w:lastRenderedPageBreak/>
        <w:t>W przypadku awarii sprzętu natychmiast przerwać korzystanie i powiadomić personel techniczny;</w:t>
      </w:r>
    </w:p>
    <w:p w14:paraId="694CCB20" w14:textId="77777777" w:rsidR="003467F6" w:rsidRDefault="00E13EF0">
      <w:pPr>
        <w:numPr>
          <w:ilvl w:val="2"/>
          <w:numId w:val="9"/>
        </w:numPr>
        <w:rPr>
          <w:rFonts w:ascii="Times New Roman" w:eastAsia="Times New Roman" w:hAnsi="Times New Roman" w:cs="Times New Roman"/>
        </w:rPr>
      </w:pPr>
      <w:r>
        <w:t>W razie pożaru postępować zgodnie z ogólną instrukcją przeciwpożarową placówki;</w:t>
      </w:r>
    </w:p>
    <w:p w14:paraId="421974E0" w14:textId="77777777" w:rsidR="003467F6" w:rsidRDefault="00E13EF0">
      <w:pPr>
        <w:numPr>
          <w:ilvl w:val="2"/>
          <w:numId w:val="9"/>
        </w:numPr>
        <w:rPr>
          <w:rFonts w:ascii="Times New Roman" w:eastAsia="Times New Roman" w:hAnsi="Times New Roman" w:cs="Times New Roman"/>
        </w:rPr>
      </w:pPr>
      <w:r>
        <w:t>Przy objawach złego samopoczucia natychmiast przerwać sesję i zdjąć gogle VR;</w:t>
      </w:r>
    </w:p>
    <w:p w14:paraId="65A57E94" w14:textId="77777777" w:rsidR="003467F6" w:rsidRDefault="00E13EF0">
      <w:pPr>
        <w:numPr>
          <w:ilvl w:val="1"/>
          <w:numId w:val="9"/>
        </w:numPr>
        <w:ind w:hanging="360"/>
        <w:rPr>
          <w:rFonts w:ascii="Times New Roman" w:eastAsia="Times New Roman" w:hAnsi="Times New Roman" w:cs="Times New Roman"/>
        </w:rPr>
      </w:pPr>
      <w:r>
        <w:rPr>
          <w:b/>
        </w:rPr>
        <w:t>Higiena użytkowania</w:t>
      </w:r>
      <w:r>
        <w:t xml:space="preserve"> — po każdej sesji należy:</w:t>
      </w:r>
    </w:p>
    <w:p w14:paraId="18F5DF5E" w14:textId="77777777" w:rsidR="003467F6" w:rsidRDefault="00E13EF0">
      <w:pPr>
        <w:numPr>
          <w:ilvl w:val="2"/>
          <w:numId w:val="9"/>
        </w:numPr>
        <w:rPr>
          <w:rFonts w:ascii="Times New Roman" w:eastAsia="Times New Roman" w:hAnsi="Times New Roman" w:cs="Times New Roman"/>
        </w:rPr>
      </w:pPr>
      <w:r>
        <w:t>Zdezynfekować część twarzową gogli VR za pomocą dedykowanych chusteczek antybakteryjnych;</w:t>
      </w:r>
    </w:p>
    <w:p w14:paraId="2B86C655" w14:textId="77777777" w:rsidR="003467F6" w:rsidRDefault="00E13EF0">
      <w:pPr>
        <w:numPr>
          <w:ilvl w:val="2"/>
          <w:numId w:val="9"/>
        </w:numPr>
        <w:rPr>
          <w:rFonts w:ascii="Times New Roman" w:eastAsia="Times New Roman" w:hAnsi="Times New Roman" w:cs="Times New Roman"/>
        </w:rPr>
      </w:pPr>
      <w:r>
        <w:t>Wyczyścić kontrolery środkiem dezynfekującym;</w:t>
      </w:r>
    </w:p>
    <w:p w14:paraId="240297AF" w14:textId="4C017FF3" w:rsidR="003467F6" w:rsidRDefault="00E13EF0" w:rsidP="00D86C26">
      <w:pPr>
        <w:numPr>
          <w:ilvl w:val="2"/>
          <w:numId w:val="9"/>
        </w:numPr>
        <w:spacing w:after="360"/>
        <w:ind w:left="851" w:hanging="284"/>
      </w:pPr>
      <w:r>
        <w:t>Wymienić jednorazowe osłony higieniczne na goglach VR, jeśli są stosowane.</w:t>
      </w:r>
    </w:p>
    <w:p w14:paraId="1281E9C5" w14:textId="6117700A" w:rsidR="003467F6" w:rsidRPr="00C61E14" w:rsidRDefault="00E13EF0" w:rsidP="00C61E14">
      <w:pPr>
        <w:pStyle w:val="Nagwek1"/>
        <w:numPr>
          <w:ilvl w:val="0"/>
          <w:numId w:val="11"/>
        </w:numPr>
        <w:shd w:val="clear" w:color="auto" w:fill="D0CECE"/>
        <w:spacing w:before="200" w:after="200"/>
        <w:ind w:left="0" w:hanging="426"/>
        <w:rPr>
          <w:caps w:val="0"/>
          <w:color w:val="000000"/>
          <w:sz w:val="28"/>
          <w:szCs w:val="28"/>
        </w:rPr>
      </w:pPr>
      <w:bookmarkStart w:id="6" w:name="_Toc192249832"/>
      <w:r w:rsidRPr="00C61E14">
        <w:rPr>
          <w:caps w:val="0"/>
          <w:color w:val="000000"/>
          <w:sz w:val="28"/>
          <w:szCs w:val="28"/>
        </w:rPr>
        <w:t>Informacje o wdrożonych rozwiązaniach w zakresie przeciwdziałania</w:t>
      </w:r>
      <w:r w:rsidR="00C61E14">
        <w:rPr>
          <w:caps w:val="0"/>
          <w:color w:val="000000"/>
          <w:sz w:val="28"/>
          <w:szCs w:val="28"/>
        </w:rPr>
        <w:t xml:space="preserve"> </w:t>
      </w:r>
      <w:r w:rsidRPr="00C61E14">
        <w:rPr>
          <w:caps w:val="0"/>
          <w:color w:val="000000"/>
          <w:sz w:val="28"/>
          <w:szCs w:val="28"/>
        </w:rPr>
        <w:t>/</w:t>
      </w:r>
      <w:r w:rsidR="00C61E14">
        <w:rPr>
          <w:caps w:val="0"/>
          <w:color w:val="000000"/>
          <w:sz w:val="28"/>
          <w:szCs w:val="28"/>
        </w:rPr>
        <w:t xml:space="preserve"> </w:t>
      </w:r>
      <w:r w:rsidRPr="00C61E14">
        <w:rPr>
          <w:caps w:val="0"/>
          <w:color w:val="000000"/>
          <w:sz w:val="28"/>
          <w:szCs w:val="28"/>
        </w:rPr>
        <w:t>minimalizowania ryzyka występowania u użytkowników symulatora objawów tzw. choroby symulatorowej</w:t>
      </w:r>
      <w:bookmarkEnd w:id="6"/>
    </w:p>
    <w:p w14:paraId="1CF1F233" w14:textId="77777777" w:rsidR="003467F6" w:rsidRDefault="00E13EF0">
      <w:pPr>
        <w:numPr>
          <w:ilvl w:val="0"/>
          <w:numId w:val="16"/>
        </w:numPr>
        <w:rPr>
          <w:rFonts w:ascii="Times New Roman" w:eastAsia="Times New Roman" w:hAnsi="Times New Roman" w:cs="Times New Roman"/>
        </w:rPr>
      </w:pPr>
      <w:r>
        <w:t xml:space="preserve">Architektura symulatora została zaprojektowana z uwzględnieniem najnowszych badań neurofizjologicznych dotyczących problematyki tzw. choroby symulatorowej (VR </w:t>
      </w:r>
      <w:proofErr w:type="spellStart"/>
      <w:r>
        <w:t>sickness</w:t>
      </w:r>
      <w:proofErr w:type="spellEnd"/>
      <w:r>
        <w:t>), która manifestuje się poprzez zespół objawów psychofizycznych takich jak zawroty głowy, nudności, dezorientacja czy zimne poty.</w:t>
      </w:r>
    </w:p>
    <w:p w14:paraId="08E55AE2" w14:textId="77777777" w:rsidR="003467F6" w:rsidRDefault="00E13EF0">
      <w:pPr>
        <w:numPr>
          <w:ilvl w:val="0"/>
          <w:numId w:val="16"/>
        </w:numPr>
      </w:pPr>
      <w:r>
        <w:t xml:space="preserve">Etiologia choroby symulatorowej bazuje na konflikcie sensorycznym powstającym przy rozbieżności między bodźcami wizualnymi percypowanymi przez użytkownika za pośrednictwem systemu VR, które sugerują ruch; a sygnałami </w:t>
      </w:r>
      <w:proofErr w:type="spellStart"/>
      <w:r>
        <w:t>proprioceptywnymi</w:t>
      </w:r>
      <w:proofErr w:type="spellEnd"/>
      <w:r>
        <w:t xml:space="preserve"> rejestrowanymi przez układ przedsionkowy (błędnik), które nie potwierdzają tego ruchu; Mózg otrzymuje wówczas sprzeczne informacje: oczy rejestrują przemieszczanie się w przestrzeni, podczas gdy błędnik, odpowiedzialny za percepcję równowagi, nie odnotowuje zmiany pozycji użytkownika.</w:t>
      </w:r>
    </w:p>
    <w:p w14:paraId="61DC4719" w14:textId="77777777" w:rsidR="003467F6" w:rsidRDefault="00E13EF0">
      <w:pPr>
        <w:numPr>
          <w:ilvl w:val="0"/>
          <w:numId w:val="16"/>
        </w:numPr>
      </w:pPr>
      <w:r>
        <w:t>Zastosowane mechanizmy neutralizacji ryzyka dyskomfortu użytkownika:</w:t>
      </w:r>
    </w:p>
    <w:p w14:paraId="5AA0705C" w14:textId="77777777" w:rsidR="003467F6" w:rsidRDefault="00E13EF0">
      <w:pPr>
        <w:numPr>
          <w:ilvl w:val="1"/>
          <w:numId w:val="16"/>
        </w:numPr>
        <w:ind w:hanging="360"/>
      </w:pPr>
      <w:r>
        <w:t>Implementacja modelu symulacji minimalizującego konflikt sensoryczny:</w:t>
      </w:r>
    </w:p>
    <w:p w14:paraId="580350F0" w14:textId="77777777" w:rsidR="003467F6" w:rsidRDefault="00E13EF0">
      <w:pPr>
        <w:numPr>
          <w:ilvl w:val="2"/>
          <w:numId w:val="16"/>
        </w:numPr>
      </w:pPr>
      <w:r>
        <w:lastRenderedPageBreak/>
        <w:t>Intencjonalne wykluczenie mechanizmów sztucznego poruszania się za pomocą manipulatorów analogowych, które są główną przyczyną choroby symulatorowej (gdy użytkownik w rzeczywistości pozostaje nieruchomy, siedząc lub stojąc);</w:t>
      </w:r>
    </w:p>
    <w:p w14:paraId="1244E706" w14:textId="77777777" w:rsidR="003467F6" w:rsidRDefault="00E13EF0">
      <w:pPr>
        <w:numPr>
          <w:ilvl w:val="2"/>
          <w:numId w:val="16"/>
        </w:numPr>
      </w:pPr>
      <w:r>
        <w:t>Wykorzystanie pełnych możliwości systemu śledzenia pozycji gogli Meta Quest 3, umożliwiającego precyzyjne odwzorowanie rzeczywistych ruchów użytkownika w przestrzeni wirtualnej;</w:t>
      </w:r>
    </w:p>
    <w:p w14:paraId="785F90DE" w14:textId="1260566D" w:rsidR="003467F6" w:rsidRDefault="00E13EF0">
      <w:pPr>
        <w:numPr>
          <w:ilvl w:val="2"/>
          <w:numId w:val="16"/>
        </w:numPr>
      </w:pPr>
      <w:r>
        <w:t>Zapewnienie pełnej korelacji między faktycznymi ruchami użytkownika a ich projekcją w środowisku symulacji — gdy użytkownik porusza się fizycznie (chodzi, kuca, wychyla się, obraca głowę), jego ruchy są naturalnie przenoszone do symulacji</w:t>
      </w:r>
      <w:r w:rsidR="00D86C26">
        <w:t>.</w:t>
      </w:r>
    </w:p>
    <w:p w14:paraId="05457DA0" w14:textId="77777777" w:rsidR="003467F6" w:rsidRDefault="00E13EF0">
      <w:pPr>
        <w:numPr>
          <w:ilvl w:val="1"/>
          <w:numId w:val="16"/>
        </w:numPr>
        <w:ind w:hanging="360"/>
      </w:pPr>
      <w:r>
        <w:t>Optymalizacja techniczna środowiska symulacji:</w:t>
      </w:r>
    </w:p>
    <w:p w14:paraId="55F12908" w14:textId="77777777" w:rsidR="003467F6" w:rsidRDefault="00E13EF0">
      <w:pPr>
        <w:numPr>
          <w:ilvl w:val="2"/>
          <w:numId w:val="16"/>
        </w:numPr>
      </w:pPr>
      <w:r>
        <w:t xml:space="preserve">Utrzymanie stabilnej częstotliwości odświeżania obrazu na poziomie minimum 90 </w:t>
      </w:r>
      <w:proofErr w:type="spellStart"/>
      <w:r>
        <w:t>Hz</w:t>
      </w:r>
      <w:proofErr w:type="spellEnd"/>
      <w:r>
        <w:t>;</w:t>
      </w:r>
    </w:p>
    <w:p w14:paraId="1FC003CE" w14:textId="5E15EF52" w:rsidR="003467F6" w:rsidRDefault="00E13EF0">
      <w:pPr>
        <w:numPr>
          <w:ilvl w:val="2"/>
          <w:numId w:val="16"/>
        </w:numPr>
      </w:pPr>
      <w:r>
        <w:t>Minimalizacja opóźnień między ruchem użytkownika a reakcją systemu (latencji) do wartości poniżej 20 ms</w:t>
      </w:r>
      <w:r w:rsidR="00D86C26">
        <w:t>.</w:t>
      </w:r>
    </w:p>
    <w:p w14:paraId="245EBEE5" w14:textId="77777777" w:rsidR="003467F6" w:rsidRDefault="00E13EF0">
      <w:pPr>
        <w:numPr>
          <w:ilvl w:val="1"/>
          <w:numId w:val="16"/>
        </w:numPr>
        <w:ind w:hanging="360"/>
      </w:pPr>
      <w:r>
        <w:t>Ergonomia interfejsu użytkownika:</w:t>
      </w:r>
    </w:p>
    <w:p w14:paraId="61CE0E7D" w14:textId="77777777" w:rsidR="003467F6" w:rsidRDefault="00E13EF0">
      <w:pPr>
        <w:numPr>
          <w:ilvl w:val="2"/>
          <w:numId w:val="16"/>
        </w:numPr>
      </w:pPr>
      <w:r>
        <w:t>Stabilizacja elementów interfejsu względem pola widzenia użytkownika;</w:t>
      </w:r>
    </w:p>
    <w:p w14:paraId="390EAD33" w14:textId="77777777" w:rsidR="003467F6" w:rsidRDefault="00E13EF0">
      <w:pPr>
        <w:numPr>
          <w:ilvl w:val="2"/>
          <w:numId w:val="16"/>
        </w:numPr>
      </w:pPr>
      <w:r>
        <w:t>Eliminacja efektów paralaksy w krytycznych obszarach informacyjnych;</w:t>
      </w:r>
    </w:p>
    <w:p w14:paraId="03174490" w14:textId="77777777" w:rsidR="003467F6" w:rsidRDefault="00E13EF0">
      <w:pPr>
        <w:numPr>
          <w:ilvl w:val="2"/>
          <w:numId w:val="16"/>
        </w:numPr>
      </w:pPr>
      <w:r>
        <w:t>Zrównoważona dynamika prezentacji danych telemetrycznych, zapobiegająca nadmiernej stymulacji wzrokowej;</w:t>
      </w:r>
    </w:p>
    <w:p w14:paraId="2EAE0348" w14:textId="77777777" w:rsidR="003467F6" w:rsidRDefault="00E13EF0">
      <w:pPr>
        <w:numPr>
          <w:ilvl w:val="2"/>
          <w:numId w:val="16"/>
        </w:numPr>
      </w:pPr>
      <w:r>
        <w:t xml:space="preserve">Implementacja </w:t>
      </w:r>
      <w:proofErr w:type="spellStart"/>
      <w:r>
        <w:t>konsystentnych</w:t>
      </w:r>
      <w:proofErr w:type="spellEnd"/>
      <w:r>
        <w:t xml:space="preserve"> punktów referencyjnych w przestrzeni wirtualnej, w tym wirtualnego stanowiska stanowiącej stabilny punkt odniesienia dla mózgu użytkownika.</w:t>
      </w:r>
    </w:p>
    <w:p w14:paraId="64C0B91F" w14:textId="77777777" w:rsidR="003467F6" w:rsidRDefault="00E13EF0">
      <w:pPr>
        <w:numPr>
          <w:ilvl w:val="0"/>
          <w:numId w:val="16"/>
        </w:numPr>
      </w:pPr>
      <w:r>
        <w:t>Specyfikacja trybu pierwszoosobowego (FPV):</w:t>
      </w:r>
    </w:p>
    <w:p w14:paraId="508AD48B" w14:textId="77777777" w:rsidR="003467F6" w:rsidRDefault="00E13EF0">
      <w:pPr>
        <w:numPr>
          <w:ilvl w:val="1"/>
          <w:numId w:val="16"/>
        </w:numPr>
        <w:ind w:hanging="360"/>
      </w:pPr>
      <w:r>
        <w:t xml:space="preserve">W trybie FPV, analogicznie do rzeczywistych systemów pilotażu BSP, ruchy głowy użytkownika nie są uwzględniane w kalkulacji rotacji wirtualnej kamery, </w:t>
      </w:r>
      <w:r>
        <w:lastRenderedPageBreak/>
        <w:t>co może indukować dyskomfort zbliżony do tego doświadczanego przy korzystaniu z fizycznych gogli FPV;</w:t>
      </w:r>
    </w:p>
    <w:p w14:paraId="7908C31E" w14:textId="7E972D17" w:rsidR="003467F6" w:rsidRDefault="00E13EF0">
      <w:pPr>
        <w:numPr>
          <w:ilvl w:val="1"/>
          <w:numId w:val="16"/>
        </w:numPr>
        <w:ind w:hanging="360"/>
      </w:pPr>
      <w:r>
        <w:t>W celu minimalizacji potencjalnego dyskomfortu w trybie FPV, rekomenduje się ograniczenie czasu korzystania z tego trybu, szczególnie na początkowych etapach adaptacji do symulatora</w:t>
      </w:r>
      <w:r w:rsidR="00D86C26">
        <w:t>.</w:t>
      </w:r>
    </w:p>
    <w:p w14:paraId="603241F2" w14:textId="77777777" w:rsidR="003467F6" w:rsidRDefault="00E13EF0">
      <w:pPr>
        <w:numPr>
          <w:ilvl w:val="1"/>
          <w:numId w:val="16"/>
        </w:numPr>
        <w:ind w:hanging="360"/>
      </w:pPr>
      <w:r>
        <w:t>Wdrożono procedury bezpieczeństwa obejmujące:</w:t>
      </w:r>
    </w:p>
    <w:p w14:paraId="0318B80F" w14:textId="77777777" w:rsidR="003467F6" w:rsidRDefault="00E13EF0">
      <w:pPr>
        <w:numPr>
          <w:ilvl w:val="2"/>
          <w:numId w:val="16"/>
        </w:numPr>
      </w:pPr>
      <w:r>
        <w:t>Limitację czasu ciągłej ekspozycji w trybie FPV;</w:t>
      </w:r>
    </w:p>
    <w:p w14:paraId="1F37C75A" w14:textId="4160CACA" w:rsidR="003467F6" w:rsidRDefault="00E13EF0" w:rsidP="00B71F43">
      <w:pPr>
        <w:numPr>
          <w:ilvl w:val="2"/>
          <w:numId w:val="16"/>
        </w:numPr>
        <w:spacing w:after="360"/>
        <w:ind w:left="851" w:hanging="284"/>
      </w:pPr>
      <w:r>
        <w:t xml:space="preserve">Możliwość natychmiastowego przełączenia do trybu </w:t>
      </w:r>
      <w:proofErr w:type="spellStart"/>
      <w:r>
        <w:t>trzecioosobowego</w:t>
      </w:r>
      <w:proofErr w:type="spellEnd"/>
      <w:r w:rsidR="00D86C26">
        <w:t>.</w:t>
      </w:r>
    </w:p>
    <w:p w14:paraId="39E77913" w14:textId="77777777" w:rsidR="003467F6" w:rsidRPr="00C61E14" w:rsidRDefault="00E13EF0" w:rsidP="00C61E14">
      <w:pPr>
        <w:pStyle w:val="Nagwek1"/>
        <w:numPr>
          <w:ilvl w:val="0"/>
          <w:numId w:val="11"/>
        </w:numPr>
        <w:shd w:val="clear" w:color="auto" w:fill="D0CECE"/>
        <w:tabs>
          <w:tab w:val="left" w:pos="284"/>
        </w:tabs>
        <w:spacing w:before="200" w:after="200"/>
        <w:ind w:left="0" w:hanging="426"/>
        <w:rPr>
          <w:caps w:val="0"/>
          <w:color w:val="000000"/>
          <w:sz w:val="28"/>
          <w:szCs w:val="28"/>
        </w:rPr>
      </w:pPr>
      <w:bookmarkStart w:id="7" w:name="_Toc192249833"/>
      <w:r w:rsidRPr="00C61E14">
        <w:rPr>
          <w:caps w:val="0"/>
          <w:color w:val="000000"/>
          <w:sz w:val="28"/>
          <w:szCs w:val="28"/>
        </w:rPr>
        <w:t>Informacje o wdrożonych rozwiązaniach w zakresie spełnienia przez symulator „Standardów dostępności dla polityki spójności 2021-2027”</w:t>
      </w:r>
      <w:bookmarkEnd w:id="7"/>
    </w:p>
    <w:p w14:paraId="001C9C48" w14:textId="77777777" w:rsidR="003467F6" w:rsidRDefault="00E13EF0">
      <w:pPr>
        <w:numPr>
          <w:ilvl w:val="0"/>
          <w:numId w:val="7"/>
        </w:numPr>
      </w:pPr>
      <w:r>
        <w:t>Symulator został zaprojektowany zgodnie ze „Standardami dostępności dla polityki spójności 2021-2027", uwzględniając szeroki zakres potrzeb osób z różnymi formami niepełnosprawności:</w:t>
      </w:r>
    </w:p>
    <w:p w14:paraId="64A4297B" w14:textId="77777777" w:rsidR="003467F6" w:rsidRDefault="00E13EF0" w:rsidP="00187CBD">
      <w:pPr>
        <w:numPr>
          <w:ilvl w:val="1"/>
          <w:numId w:val="7"/>
        </w:numPr>
        <w:spacing w:after="120"/>
        <w:ind w:hanging="360"/>
      </w:pPr>
      <w:r>
        <w:t>Ograniczenia wynikające z niepełnosprawności ruchowej:</w:t>
      </w:r>
    </w:p>
    <w:p w14:paraId="08D83DCA" w14:textId="77777777" w:rsidR="003467F6" w:rsidRDefault="00E13EF0" w:rsidP="00187CBD">
      <w:pPr>
        <w:numPr>
          <w:ilvl w:val="2"/>
          <w:numId w:val="7"/>
        </w:numPr>
        <w:spacing w:after="120"/>
      </w:pPr>
      <w:r>
        <w:t>Możliwość korzystania z symulatora zarówno w pozycji stojącej, jak i siedzącej (w tym z poziomu wózka inwalidzkiego);</w:t>
      </w:r>
    </w:p>
    <w:p w14:paraId="6AC711AC" w14:textId="4BF34453" w:rsidR="003467F6" w:rsidRDefault="00E13EF0" w:rsidP="00187CBD">
      <w:pPr>
        <w:numPr>
          <w:ilvl w:val="2"/>
          <w:numId w:val="7"/>
        </w:numPr>
        <w:spacing w:after="120"/>
      </w:pPr>
      <w:r>
        <w:t>Ergonomiczne rozmieszczenie elementów sterujących ułatwiające dostęp osobom z ograniczoną możliwością ruchu</w:t>
      </w:r>
      <w:r w:rsidR="000047DD">
        <w:t>.</w:t>
      </w:r>
    </w:p>
    <w:p w14:paraId="71FDE287" w14:textId="77777777" w:rsidR="003467F6" w:rsidRDefault="00E13EF0" w:rsidP="00187CBD">
      <w:pPr>
        <w:numPr>
          <w:ilvl w:val="1"/>
          <w:numId w:val="7"/>
        </w:numPr>
        <w:spacing w:after="120"/>
        <w:ind w:hanging="360"/>
      </w:pPr>
      <w:r>
        <w:t>Ograniczenia wynikające z dysfunkcji wzroku:</w:t>
      </w:r>
    </w:p>
    <w:p w14:paraId="33E83660" w14:textId="77777777" w:rsidR="003467F6" w:rsidRDefault="00E13EF0" w:rsidP="00187CBD">
      <w:pPr>
        <w:numPr>
          <w:ilvl w:val="2"/>
          <w:numId w:val="7"/>
        </w:numPr>
        <w:spacing w:after="120"/>
      </w:pPr>
      <w:r>
        <w:t>Możliwość dostosowania IPD (rozstawu źrenic) w goglach VR dla optymalnego dopasowania do indywidualnych parametrów użytkownika;</w:t>
      </w:r>
    </w:p>
    <w:p w14:paraId="6E7AD8EA" w14:textId="77777777" w:rsidR="003467F6" w:rsidRDefault="00E13EF0" w:rsidP="00187CBD">
      <w:pPr>
        <w:numPr>
          <w:ilvl w:val="2"/>
          <w:numId w:val="7"/>
        </w:numPr>
        <w:spacing w:after="120"/>
      </w:pPr>
      <w:r>
        <w:t>Zastosowanie soczewek typu "</w:t>
      </w:r>
      <w:proofErr w:type="spellStart"/>
      <w:r>
        <w:t>Pancake</w:t>
      </w:r>
      <w:proofErr w:type="spellEnd"/>
      <w:r>
        <w:t>", zapewniających ostry obraz przy prawidłowym ustawieniu gogli na głowie;</w:t>
      </w:r>
    </w:p>
    <w:p w14:paraId="79E07341" w14:textId="50C7A8CC" w:rsidR="003467F6" w:rsidRDefault="00E13EF0" w:rsidP="00187CBD">
      <w:pPr>
        <w:numPr>
          <w:ilvl w:val="2"/>
          <w:numId w:val="7"/>
        </w:numPr>
        <w:spacing w:after="120"/>
      </w:pPr>
      <w:r>
        <w:t>Kompatybilność z okularami korekcyjnymi o wąskich ramkach</w:t>
      </w:r>
      <w:r w:rsidR="001B5333">
        <w:t>, rekomendowane soczewki kontaktowe</w:t>
      </w:r>
      <w:r>
        <w:t>;</w:t>
      </w:r>
    </w:p>
    <w:p w14:paraId="32B27455" w14:textId="77777777" w:rsidR="003467F6" w:rsidRDefault="00E13EF0" w:rsidP="00187CBD">
      <w:pPr>
        <w:numPr>
          <w:ilvl w:val="2"/>
          <w:numId w:val="7"/>
        </w:numPr>
        <w:spacing w:after="120"/>
      </w:pPr>
      <w:r>
        <w:t>Interfejs z wysokim kontrastem i odpowiednią wielkością elementów dla osób słabowidzących;</w:t>
      </w:r>
    </w:p>
    <w:p w14:paraId="0325B421" w14:textId="2E2D0B43" w:rsidR="003467F6" w:rsidRDefault="00E13EF0" w:rsidP="00187CBD">
      <w:pPr>
        <w:numPr>
          <w:ilvl w:val="2"/>
          <w:numId w:val="7"/>
        </w:numPr>
        <w:spacing w:after="120"/>
      </w:pPr>
      <w:r>
        <w:lastRenderedPageBreak/>
        <w:t>Paleta kolorystyczna dostosowana do potrzeb osób z różnymi formami daltonizmu</w:t>
      </w:r>
      <w:r w:rsidR="000047DD">
        <w:t>.</w:t>
      </w:r>
    </w:p>
    <w:p w14:paraId="587C01E5" w14:textId="77777777" w:rsidR="003467F6" w:rsidRDefault="00E13EF0" w:rsidP="00187CBD">
      <w:pPr>
        <w:numPr>
          <w:ilvl w:val="1"/>
          <w:numId w:val="7"/>
        </w:numPr>
        <w:spacing w:after="120"/>
        <w:ind w:hanging="360"/>
      </w:pPr>
      <w:r>
        <w:t>Ograniczenia wynikające z niepełnosprawności słuchu:</w:t>
      </w:r>
    </w:p>
    <w:p w14:paraId="286198F8" w14:textId="77777777" w:rsidR="003467F6" w:rsidRDefault="00E13EF0" w:rsidP="00187CBD">
      <w:pPr>
        <w:numPr>
          <w:ilvl w:val="2"/>
          <w:numId w:val="7"/>
        </w:numPr>
        <w:spacing w:after="120"/>
      </w:pPr>
      <w:r>
        <w:t>Możliwość regulacji głośności dźwięków występujących w symulacji;</w:t>
      </w:r>
    </w:p>
    <w:p w14:paraId="4336265B" w14:textId="77777777" w:rsidR="003467F6" w:rsidRDefault="00E13EF0" w:rsidP="00187CBD">
      <w:pPr>
        <w:numPr>
          <w:ilvl w:val="2"/>
          <w:numId w:val="7"/>
        </w:numPr>
        <w:spacing w:after="120"/>
      </w:pPr>
      <w:r>
        <w:t>Możliwość podłączenia indywidualnych słuchawek do systemu;</w:t>
      </w:r>
    </w:p>
    <w:p w14:paraId="0F6A36BF" w14:textId="77777777" w:rsidR="003467F6" w:rsidRDefault="00E13EF0" w:rsidP="00187CBD">
      <w:pPr>
        <w:numPr>
          <w:ilvl w:val="2"/>
          <w:numId w:val="7"/>
        </w:numPr>
        <w:spacing w:after="120"/>
      </w:pPr>
      <w:r>
        <w:t>Kompletna dostępność symulacji dla osób głuchych poprzez percepcję wzrokową (obraz, tekst, wizualne sygnały informacyjne);</w:t>
      </w:r>
    </w:p>
    <w:p w14:paraId="78C2EE03" w14:textId="77777777" w:rsidR="003467F6" w:rsidRDefault="00E13EF0" w:rsidP="00187CBD">
      <w:pPr>
        <w:numPr>
          <w:ilvl w:val="2"/>
          <w:numId w:val="7"/>
        </w:numPr>
        <w:spacing w:after="120"/>
      </w:pPr>
      <w:r>
        <w:t>Wizualne odpowiedniki wszystkich sygnałów dźwiękowych występujących w symulacji.</w:t>
      </w:r>
    </w:p>
    <w:p w14:paraId="6931E4DF" w14:textId="77777777" w:rsidR="003467F6" w:rsidRDefault="00E13EF0" w:rsidP="00187CBD">
      <w:pPr>
        <w:numPr>
          <w:ilvl w:val="1"/>
          <w:numId w:val="7"/>
        </w:numPr>
        <w:spacing w:after="120"/>
        <w:ind w:hanging="360"/>
      </w:pPr>
      <w:r>
        <w:t>Kompleksowa dostępność cyfrowa interfejsu użytkownika:</w:t>
      </w:r>
    </w:p>
    <w:p w14:paraId="3A261B8D" w14:textId="60F563AF" w:rsidR="003467F6" w:rsidRDefault="00E13EF0" w:rsidP="00187CBD">
      <w:pPr>
        <w:numPr>
          <w:ilvl w:val="2"/>
          <w:numId w:val="7"/>
        </w:numPr>
        <w:spacing w:after="120"/>
      </w:pPr>
      <w:r>
        <w:t>Spełnienie wymogów dostępności cyfrowej dla wszystkich komunikatów tekstowych występujących w symulacji, m.in. odpowiednie czcionki, odpowiednie kontrasty, wielkość tekstu i inne elementy wpływające na dostępność</w:t>
      </w:r>
      <w:r w:rsidR="00B71F43">
        <w:t>;</w:t>
      </w:r>
    </w:p>
    <w:p w14:paraId="62FBB036" w14:textId="77777777" w:rsidR="003467F6" w:rsidRDefault="00E13EF0" w:rsidP="00187CBD">
      <w:pPr>
        <w:numPr>
          <w:ilvl w:val="2"/>
          <w:numId w:val="7"/>
        </w:numPr>
        <w:spacing w:after="120"/>
      </w:pPr>
      <w:r>
        <w:t xml:space="preserve">Zastosowanie odpowiednich czcionek </w:t>
      </w:r>
      <w:proofErr w:type="spellStart"/>
      <w:r>
        <w:t>bezszeryfowych</w:t>
      </w:r>
      <w:proofErr w:type="spellEnd"/>
      <w:r>
        <w:t xml:space="preserve"> dla optymalnej czytelności;</w:t>
      </w:r>
    </w:p>
    <w:p w14:paraId="6CA3E619" w14:textId="77777777" w:rsidR="003467F6" w:rsidRDefault="00E13EF0" w:rsidP="00187CBD">
      <w:pPr>
        <w:numPr>
          <w:ilvl w:val="2"/>
          <w:numId w:val="7"/>
        </w:numPr>
        <w:spacing w:after="120"/>
      </w:pPr>
      <w:r>
        <w:t>Zapewnienie właściwych kontrastów między elementami interfejsu zgodnie ze standardem dostępności WCAG Level AAA (minimum 7:1 dla standardowego tekstu);</w:t>
      </w:r>
    </w:p>
    <w:p w14:paraId="66BF4F28" w14:textId="0DD3633E" w:rsidR="003467F6" w:rsidRDefault="00E13EF0" w:rsidP="00187CBD">
      <w:pPr>
        <w:numPr>
          <w:ilvl w:val="2"/>
          <w:numId w:val="7"/>
        </w:numPr>
        <w:spacing w:after="120"/>
      </w:pPr>
      <w:r>
        <w:t>Domyślna wielkość tekstu zaprojektowana w większej skali, zapewniająca optymalną czytelność bez potrzeby dodatkowego skalowania</w:t>
      </w:r>
      <w:r w:rsidR="000047DD">
        <w:t>.</w:t>
      </w:r>
    </w:p>
    <w:p w14:paraId="544C97F5" w14:textId="77777777" w:rsidR="003467F6" w:rsidRDefault="00E13EF0" w:rsidP="00187CBD">
      <w:pPr>
        <w:numPr>
          <w:ilvl w:val="1"/>
          <w:numId w:val="7"/>
        </w:numPr>
        <w:spacing w:after="120"/>
        <w:ind w:hanging="360"/>
      </w:pPr>
      <w:r>
        <w:t>Dostępność informacyjna i komunikacyjna:</w:t>
      </w:r>
    </w:p>
    <w:p w14:paraId="196E7776" w14:textId="77777777" w:rsidR="003467F6" w:rsidRDefault="00E13EF0" w:rsidP="00187CBD">
      <w:pPr>
        <w:numPr>
          <w:ilvl w:val="2"/>
          <w:numId w:val="7"/>
        </w:numPr>
        <w:spacing w:after="120"/>
      </w:pPr>
      <w:r>
        <w:t>Opracowanie wszystkich komunikatów występujących w symulacji prostym językiem, zapewniającym ich zrozumiałość;</w:t>
      </w:r>
    </w:p>
    <w:p w14:paraId="3DE99B18" w14:textId="77777777" w:rsidR="003467F6" w:rsidRDefault="00E13EF0" w:rsidP="00187CBD">
      <w:pPr>
        <w:numPr>
          <w:ilvl w:val="2"/>
          <w:numId w:val="7"/>
        </w:numPr>
        <w:spacing w:after="120"/>
      </w:pPr>
      <w:r>
        <w:t>Hierarchiczna organizacja treści ułatwiająca nawigację i percepcję informacji;</w:t>
      </w:r>
    </w:p>
    <w:p w14:paraId="45EFCE85" w14:textId="77777777" w:rsidR="003467F6" w:rsidRDefault="00E13EF0" w:rsidP="00187CBD">
      <w:pPr>
        <w:numPr>
          <w:ilvl w:val="2"/>
          <w:numId w:val="7"/>
        </w:numPr>
        <w:spacing w:after="120"/>
      </w:pPr>
      <w:r>
        <w:t>Wielokanałowe przekazywanie istotnych informacji (wizualnie i dźwiękowo);</w:t>
      </w:r>
    </w:p>
    <w:p w14:paraId="1BD2A640" w14:textId="77777777" w:rsidR="003467F6" w:rsidRDefault="00E13EF0" w:rsidP="00187CBD">
      <w:pPr>
        <w:numPr>
          <w:ilvl w:val="2"/>
          <w:numId w:val="7"/>
        </w:numPr>
        <w:spacing w:after="120"/>
      </w:pPr>
      <w:r>
        <w:t>Intuicyjny układ interfejsu redukujący obciążenie poznawcze podczas obsługi symulatora.</w:t>
      </w:r>
    </w:p>
    <w:p w14:paraId="7B40A83C" w14:textId="77777777" w:rsidR="003467F6" w:rsidRDefault="00E13EF0" w:rsidP="00187CBD">
      <w:pPr>
        <w:numPr>
          <w:ilvl w:val="1"/>
          <w:numId w:val="7"/>
        </w:numPr>
        <w:spacing w:after="120"/>
        <w:ind w:hanging="360"/>
      </w:pPr>
      <w:r>
        <w:t>Realistyczne ograniczenia dostępności w symulatorze:</w:t>
      </w:r>
    </w:p>
    <w:p w14:paraId="7A82EE78" w14:textId="77777777" w:rsidR="003467F6" w:rsidRDefault="00E13EF0" w:rsidP="00187CBD">
      <w:pPr>
        <w:numPr>
          <w:ilvl w:val="2"/>
          <w:numId w:val="7"/>
        </w:numPr>
        <w:spacing w:after="120"/>
      </w:pPr>
      <w:r>
        <w:lastRenderedPageBreak/>
        <w:t xml:space="preserve">Symulator, oprócz funkcji edukacyjnej, ma za zadanie przygotowywać uczestników do rzeczywistego pilotażu BSP, dlatego niektóre aspekty dostępności zostały intencjonalnie ograniczone, aby odzwierciedlać faktyczną specyfikę pracy operatora </w:t>
      </w:r>
      <w:proofErr w:type="spellStart"/>
      <w:r>
        <w:t>drona</w:t>
      </w:r>
      <w:proofErr w:type="spellEnd"/>
      <w:r>
        <w:t>;</w:t>
      </w:r>
    </w:p>
    <w:p w14:paraId="0C03685C" w14:textId="77777777" w:rsidR="003467F6" w:rsidRDefault="00E13EF0" w:rsidP="00187CBD">
      <w:pPr>
        <w:numPr>
          <w:ilvl w:val="2"/>
          <w:numId w:val="7"/>
        </w:numPr>
        <w:spacing w:after="120"/>
      </w:pPr>
      <w:r>
        <w:t xml:space="preserve">Interfejs kontroli </w:t>
      </w:r>
      <w:proofErr w:type="spellStart"/>
      <w:r>
        <w:t>drona</w:t>
      </w:r>
      <w:proofErr w:type="spellEnd"/>
      <w:r>
        <w:t xml:space="preserve"> odwzorowuje rzeczywiste rozwiązania stosowane w komercyjnych BSP, które z uwagi na specyfikę operacyjną nie implementują pełnego zakresu udogodnień </w:t>
      </w:r>
      <w:proofErr w:type="spellStart"/>
      <w:r>
        <w:t>dostępnościowych</w:t>
      </w:r>
      <w:proofErr w:type="spellEnd"/>
      <w:r>
        <w:t>;</w:t>
      </w:r>
    </w:p>
    <w:p w14:paraId="79C74126" w14:textId="77777777" w:rsidR="003467F6" w:rsidRDefault="00E13EF0" w:rsidP="00187CBD">
      <w:pPr>
        <w:numPr>
          <w:ilvl w:val="2"/>
          <w:numId w:val="7"/>
        </w:numPr>
        <w:spacing w:after="120"/>
      </w:pPr>
      <w:r>
        <w:t>Elementy symulacji bezpośrednio związane z pilotażem BSP zachowują ograniczenia dostępności występujące w rzeczywistych urządzeniach, co ma kluczowe znaczenie dla właściwego przygotowania operatorów do pracy z rzeczywistym sprzętem;</w:t>
      </w:r>
    </w:p>
    <w:p w14:paraId="6C1B43B1" w14:textId="77777777" w:rsidR="003467F6" w:rsidRDefault="00E13EF0" w:rsidP="00187CBD">
      <w:pPr>
        <w:numPr>
          <w:ilvl w:val="2"/>
          <w:numId w:val="7"/>
        </w:numPr>
        <w:spacing w:after="120"/>
      </w:pPr>
      <w:r>
        <w:t>Takie podejście pozwala uczestnikom na realistyczne doświadczenie wyzwań związanych z obsługą BSP oraz wypracowanie odpowiednich strategii kompensacyjnych niezbędnych w praktyce zawodowej.</w:t>
      </w:r>
    </w:p>
    <w:p w14:paraId="6D00C4ED" w14:textId="70B0CA56" w:rsidR="003467F6" w:rsidRDefault="00E13EF0" w:rsidP="00187CBD">
      <w:pPr>
        <w:numPr>
          <w:ilvl w:val="1"/>
          <w:numId w:val="7"/>
        </w:numPr>
        <w:ind w:left="561" w:hanging="357"/>
      </w:pPr>
      <w:r>
        <w:t>Implementacja w symulatorze zaawansowanych rozwiązań informatycznych i technologicznych w zakresie przeciwdziałania</w:t>
      </w:r>
      <w:r w:rsidR="00B71F43">
        <w:t xml:space="preserve"> </w:t>
      </w:r>
      <w:r>
        <w:t>/</w:t>
      </w:r>
      <w:r w:rsidR="00B71F43">
        <w:t xml:space="preserve"> </w:t>
      </w:r>
      <w:r>
        <w:t>minimalizowania ryzyka występowania u uczestników objawów tzw. choroby symulatorowej, co umożliwia bezpieczne i komfortowe korzystanie z symulatora przez osoby z różnymi potrzebami, przy jednoczesnym zachowaniu wysokiej jakości doświadczenia edukacyjnego i realistycznego odwzorowania specyfiki pracy operatora BSP.</w:t>
      </w:r>
    </w:p>
    <w:p w14:paraId="518F9A07" w14:textId="77777777" w:rsidR="003467F6" w:rsidRPr="00C61E14" w:rsidRDefault="00E13EF0" w:rsidP="00C61E14">
      <w:pPr>
        <w:pStyle w:val="Nagwek1"/>
        <w:numPr>
          <w:ilvl w:val="0"/>
          <w:numId w:val="11"/>
        </w:numPr>
        <w:shd w:val="clear" w:color="auto" w:fill="D0CECE"/>
        <w:tabs>
          <w:tab w:val="left" w:pos="284"/>
        </w:tabs>
        <w:spacing w:before="200" w:after="200"/>
        <w:ind w:left="0" w:hanging="426"/>
        <w:rPr>
          <w:caps w:val="0"/>
          <w:color w:val="000000"/>
          <w:sz w:val="28"/>
          <w:szCs w:val="28"/>
        </w:rPr>
      </w:pPr>
      <w:bookmarkStart w:id="8" w:name="_Toc192249834"/>
      <w:r w:rsidRPr="00C61E14">
        <w:rPr>
          <w:caps w:val="0"/>
          <w:color w:val="000000"/>
          <w:sz w:val="28"/>
          <w:szCs w:val="28"/>
        </w:rPr>
        <w:t>Informacje o wdrożonych rozwiązaniach w zakresie uwzględnienia stosowania zasady „nie czyń poważnych szkód” środowisku (zasada DNSH)</w:t>
      </w:r>
      <w:bookmarkEnd w:id="8"/>
    </w:p>
    <w:p w14:paraId="0D14E7F8" w14:textId="77777777" w:rsidR="003467F6" w:rsidRDefault="00E13EF0">
      <w:pPr>
        <w:numPr>
          <w:ilvl w:val="0"/>
          <w:numId w:val="10"/>
        </w:numPr>
        <w:rPr>
          <w:rFonts w:ascii="Times New Roman" w:eastAsia="Times New Roman" w:hAnsi="Times New Roman" w:cs="Times New Roman"/>
        </w:rPr>
      </w:pPr>
      <w:r>
        <w:t xml:space="preserve">W procesie projektowania, produkcji oraz eksploatacji symulatora uwzględniono zasadę „nie czyń poważnych szkód" środowisku (Do No </w:t>
      </w:r>
      <w:proofErr w:type="spellStart"/>
      <w:r>
        <w:t>Signifiant</w:t>
      </w:r>
      <w:proofErr w:type="spellEnd"/>
      <w:r>
        <w:t xml:space="preserve"> </w:t>
      </w:r>
      <w:proofErr w:type="spellStart"/>
      <w:r>
        <w:t>Harm</w:t>
      </w:r>
      <w:proofErr w:type="spellEnd"/>
      <w:r>
        <w:t xml:space="preserve"> — DNSH), zgodnie z Rozporządzeniem Parlamentu Europejskiego i Rady (UE) 2020/852 w sprawie ustanowienia ram ułatwiających zrównoważone inwestycje.</w:t>
      </w:r>
    </w:p>
    <w:p w14:paraId="7613DE5F" w14:textId="77777777" w:rsidR="003467F6" w:rsidRDefault="00E13EF0">
      <w:pPr>
        <w:numPr>
          <w:ilvl w:val="0"/>
          <w:numId w:val="10"/>
        </w:numPr>
        <w:rPr>
          <w:rFonts w:ascii="Times New Roman" w:eastAsia="Times New Roman" w:hAnsi="Times New Roman" w:cs="Times New Roman"/>
        </w:rPr>
      </w:pPr>
      <w:r>
        <w:t xml:space="preserve">Symulator jako narzędzie edukacyjne realizuje bezpośrednio cel środowiskowy poprzez umożliwienie szkolenia pilotów dronów bez konieczności używania </w:t>
      </w:r>
      <w:r>
        <w:lastRenderedPageBreak/>
        <w:t>rzeczywistych bezzałogowych statków powietrznych, co eliminuje zużycie paliwa, emisję hałasu oraz ryzyko wypadków w środowisku naturalnym.</w:t>
      </w:r>
    </w:p>
    <w:p w14:paraId="7346D513" w14:textId="77777777" w:rsidR="003467F6" w:rsidRDefault="00E13EF0">
      <w:pPr>
        <w:numPr>
          <w:ilvl w:val="0"/>
          <w:numId w:val="10"/>
        </w:numPr>
        <w:rPr>
          <w:rFonts w:ascii="Times New Roman" w:eastAsia="Times New Roman" w:hAnsi="Times New Roman" w:cs="Times New Roman"/>
        </w:rPr>
      </w:pPr>
      <w:r>
        <w:t>Konkretne rozwiązania zgodne z zasadą DNSH wdrożone w projekcie:</w:t>
      </w:r>
    </w:p>
    <w:p w14:paraId="7F692FC3" w14:textId="77777777" w:rsidR="003467F6" w:rsidRDefault="00E13EF0">
      <w:pPr>
        <w:numPr>
          <w:ilvl w:val="1"/>
          <w:numId w:val="10"/>
        </w:numPr>
        <w:ind w:hanging="360"/>
        <w:rPr>
          <w:rFonts w:ascii="Times New Roman" w:eastAsia="Times New Roman" w:hAnsi="Times New Roman" w:cs="Times New Roman"/>
        </w:rPr>
      </w:pPr>
      <w:r>
        <w:t>Efektywność energetyczna poprzez zastosowanie komponentów sprzętowych o najwyższej klasie efektywności energetycznej;</w:t>
      </w:r>
    </w:p>
    <w:p w14:paraId="015A4168" w14:textId="77777777" w:rsidR="003467F6" w:rsidRDefault="00E13EF0">
      <w:pPr>
        <w:numPr>
          <w:ilvl w:val="1"/>
          <w:numId w:val="10"/>
        </w:numPr>
        <w:ind w:hanging="360"/>
        <w:rPr>
          <w:rFonts w:ascii="Times New Roman" w:eastAsia="Times New Roman" w:hAnsi="Times New Roman" w:cs="Times New Roman"/>
        </w:rPr>
      </w:pPr>
      <w:r>
        <w:t>Komponenty symulatora wybrane pod kątem trwałości i możliwości naprawy zamiast wymiany;</w:t>
      </w:r>
    </w:p>
    <w:p w14:paraId="7E8BE61B" w14:textId="77777777" w:rsidR="003467F6" w:rsidRDefault="00E13EF0">
      <w:pPr>
        <w:numPr>
          <w:ilvl w:val="1"/>
          <w:numId w:val="10"/>
        </w:numPr>
        <w:ind w:hanging="360"/>
        <w:rPr>
          <w:rFonts w:ascii="Times New Roman" w:eastAsia="Times New Roman" w:hAnsi="Times New Roman" w:cs="Times New Roman"/>
        </w:rPr>
      </w:pPr>
      <w:r>
        <w:t xml:space="preserve">Optymalizacja oprogramowania pod kątem zużycia energii; </w:t>
      </w:r>
    </w:p>
    <w:p w14:paraId="580783E8" w14:textId="77777777" w:rsidR="003467F6" w:rsidRDefault="00E13EF0">
      <w:pPr>
        <w:numPr>
          <w:ilvl w:val="1"/>
          <w:numId w:val="10"/>
        </w:numPr>
        <w:ind w:hanging="360"/>
      </w:pPr>
      <w:r>
        <w:t>Scenariusze szkoleniowe uwzględniające aspekty ochrony środowiska oraz promocja dobrych praktyk w zakresie zrównoważonego wykorzystania dronów;</w:t>
      </w:r>
    </w:p>
    <w:p w14:paraId="1C89DD02" w14:textId="750D5AAD" w:rsidR="003467F6" w:rsidRDefault="00E13EF0" w:rsidP="00B71F43">
      <w:pPr>
        <w:numPr>
          <w:ilvl w:val="1"/>
          <w:numId w:val="10"/>
        </w:numPr>
        <w:spacing w:after="360"/>
        <w:ind w:left="561" w:hanging="357"/>
      </w:pPr>
      <w:r>
        <w:t>Dokumentacja techniczna i instrukcje dostępne w formie cyfrowej, co eliminuje potrzebę drukowania materiałów papierowych</w:t>
      </w:r>
      <w:r w:rsidR="00B71F43">
        <w:t>.</w:t>
      </w:r>
    </w:p>
    <w:p w14:paraId="6FF05197" w14:textId="58AD65D3" w:rsidR="003467F6" w:rsidRPr="00C61E14" w:rsidRDefault="00E13EF0" w:rsidP="00C61E14">
      <w:pPr>
        <w:pStyle w:val="Nagwek1"/>
        <w:numPr>
          <w:ilvl w:val="0"/>
          <w:numId w:val="11"/>
        </w:numPr>
        <w:shd w:val="clear" w:color="auto" w:fill="D0CECE"/>
        <w:tabs>
          <w:tab w:val="left" w:pos="284"/>
        </w:tabs>
        <w:spacing w:before="200" w:after="200"/>
        <w:ind w:left="0" w:hanging="426"/>
        <w:rPr>
          <w:caps w:val="0"/>
          <w:color w:val="000000"/>
          <w:sz w:val="28"/>
          <w:szCs w:val="28"/>
        </w:rPr>
      </w:pPr>
      <w:bookmarkStart w:id="9" w:name="_Toc192249835"/>
      <w:r w:rsidRPr="00C61E14">
        <w:rPr>
          <w:caps w:val="0"/>
          <w:color w:val="000000"/>
          <w:sz w:val="28"/>
          <w:szCs w:val="28"/>
        </w:rPr>
        <w:t>Sterowanie</w:t>
      </w:r>
      <w:bookmarkEnd w:id="9"/>
    </w:p>
    <w:p w14:paraId="0023BE9C" w14:textId="77777777" w:rsidR="003467F6" w:rsidRDefault="00E13EF0">
      <w:pPr>
        <w:ind w:left="0"/>
        <w:jc w:val="center"/>
      </w:pPr>
      <w:r>
        <w:rPr>
          <w:noProof/>
        </w:rPr>
        <w:drawing>
          <wp:inline distT="114300" distB="114300" distL="114300" distR="114300" wp14:anchorId="74638400" wp14:editId="28CBF6FA">
            <wp:extent cx="5760410" cy="3225800"/>
            <wp:effectExtent l="0" t="0" r="0" b="0"/>
            <wp:docPr id="2069789018" name="image6.png" descr="Obrazek przedstawia schemat kontrolerów do gier VR (wirtualnej rzeczywistości). Ukazane są trzy kontrolery: dwa pokazane z góry (lewy i prawy) oraz jeden pokazany z boku. Kontrolery mają biały korpus i ciemną, szarą górną część z przyciskami."/>
            <wp:cNvGraphicFramePr/>
            <a:graphic xmlns:a="http://schemas.openxmlformats.org/drawingml/2006/main">
              <a:graphicData uri="http://schemas.openxmlformats.org/drawingml/2006/picture">
                <pic:pic xmlns:pic="http://schemas.openxmlformats.org/drawingml/2006/picture">
                  <pic:nvPicPr>
                    <pic:cNvPr id="0" name="image6.png" descr="Obrazek przedstawia schemat kontrolerów do gier VR (wirtualnej rzeczywistości). Ukazane są trzy kontrolery: dwa pokazane z góry (lewy i prawy) oraz jeden pokazany z boku. Kontrolery mają biały korpus i ciemną, szarą górną część z przyciskami."/>
                    <pic:cNvPicPr preferRelativeResize="0"/>
                  </pic:nvPicPr>
                  <pic:blipFill>
                    <a:blip r:embed="rId15"/>
                    <a:srcRect/>
                    <a:stretch>
                      <a:fillRect/>
                    </a:stretch>
                  </pic:blipFill>
                  <pic:spPr>
                    <a:xfrm>
                      <a:off x="0" y="0"/>
                      <a:ext cx="5760410" cy="3225800"/>
                    </a:xfrm>
                    <a:prstGeom prst="rect">
                      <a:avLst/>
                    </a:prstGeom>
                    <a:ln/>
                  </pic:spPr>
                </pic:pic>
              </a:graphicData>
            </a:graphic>
          </wp:inline>
        </w:drawing>
      </w:r>
    </w:p>
    <w:p w14:paraId="76542024" w14:textId="77777777" w:rsidR="003467F6" w:rsidRDefault="00E13EF0">
      <w:pPr>
        <w:spacing w:line="240" w:lineRule="auto"/>
        <w:ind w:left="0"/>
        <w:rPr>
          <w:sz w:val="24"/>
          <w:szCs w:val="24"/>
        </w:rPr>
      </w:pPr>
      <w:r>
        <w:rPr>
          <w:b/>
          <w:sz w:val="24"/>
          <w:szCs w:val="24"/>
        </w:rPr>
        <w:t>[Fig. 1]</w:t>
      </w:r>
      <w:r>
        <w:rPr>
          <w:sz w:val="24"/>
          <w:szCs w:val="24"/>
        </w:rPr>
        <w:t xml:space="preserve"> Obrazek przedstawia schemat kontrolerów do gier VR (wirtualnej rzeczywistości). Ukazane są trzy kontrolery: dwa pokazane z góry (lewy i prawy) oraz jeden pokazany z boku. Kontrolery mają biały korpus i ciemną, szarą górną część z przyciskami.</w:t>
      </w:r>
    </w:p>
    <w:p w14:paraId="1461EB23" w14:textId="77777777" w:rsidR="003467F6" w:rsidRDefault="00E13EF0">
      <w:r>
        <w:lastRenderedPageBreak/>
        <w:t>Na obrazku widoczne są oznaczenia numeryczne od 1 do 9, które wskazują poszczególne elementy kontrolerów i ich funkcje:</w:t>
      </w:r>
    </w:p>
    <w:p w14:paraId="0B86485A" w14:textId="77777777" w:rsidR="003467F6" w:rsidRPr="00B71F43" w:rsidRDefault="00E13EF0">
      <w:pPr>
        <w:ind w:left="0"/>
      </w:pPr>
      <w:r w:rsidRPr="00B71F43">
        <w:t>Na lewym kontrolerze:</w:t>
      </w:r>
    </w:p>
    <w:p w14:paraId="399265BC" w14:textId="77777777" w:rsidR="003467F6" w:rsidRPr="00B71F43" w:rsidRDefault="00E13EF0">
      <w:pPr>
        <w:numPr>
          <w:ilvl w:val="0"/>
          <w:numId w:val="2"/>
        </w:numPr>
        <w:spacing w:after="0"/>
      </w:pPr>
      <w:r w:rsidRPr="00B71F43">
        <w:t xml:space="preserve">Pozycja 1: Na górnej, zaokrąglonej części kontrolera znajduje się analogowy joystick lub okrągły przycisk dotykowy, umieszczony w górnej lewej części powierzchni. Służy do kontroli </w:t>
      </w:r>
      <w:proofErr w:type="spellStart"/>
      <w:r w:rsidRPr="00B71F43">
        <w:t>drona</w:t>
      </w:r>
      <w:proofErr w:type="spellEnd"/>
      <w:r w:rsidRPr="00B71F43">
        <w:t xml:space="preserve"> (zależnie od wybranego trybu), a wciśnięcie gałki analogowej uruchamia mechanizm zwalniający paczkę.</w:t>
      </w:r>
    </w:p>
    <w:p w14:paraId="4055AA40" w14:textId="77777777" w:rsidR="003467F6" w:rsidRPr="00B71F43" w:rsidRDefault="00E13EF0">
      <w:pPr>
        <w:numPr>
          <w:ilvl w:val="0"/>
          <w:numId w:val="2"/>
        </w:numPr>
        <w:spacing w:before="0" w:after="0"/>
      </w:pPr>
      <w:r w:rsidRPr="00B71F43">
        <w:t xml:space="preserve">Pozycja 2: W prawej części górnej powierzchni znajdują się dwa okrągłe przyciski oznaczone literami X i Y, ułożone jeden pod drugim. Służą do zmiany trybu kontroli </w:t>
      </w:r>
      <w:proofErr w:type="spellStart"/>
      <w:r w:rsidRPr="00B71F43">
        <w:t>drona</w:t>
      </w:r>
      <w:proofErr w:type="spellEnd"/>
      <w:r w:rsidRPr="00B71F43">
        <w:t>.</w:t>
      </w:r>
    </w:p>
    <w:p w14:paraId="317121A2" w14:textId="77777777" w:rsidR="003467F6" w:rsidRPr="00B71F43" w:rsidRDefault="00E13EF0">
      <w:pPr>
        <w:numPr>
          <w:ilvl w:val="0"/>
          <w:numId w:val="2"/>
        </w:numPr>
        <w:spacing w:before="0" w:after="0"/>
      </w:pPr>
      <w:r w:rsidRPr="00B71F43">
        <w:t>Pozycja 3: Dolna część górnej powierzchni kontrolera, prawdopodobnie zawierająca dodatkowe przyciski funkcyjne lub panel dotykowy. Służy do zmiany kamery.</w:t>
      </w:r>
    </w:p>
    <w:p w14:paraId="5C240929" w14:textId="77777777" w:rsidR="003467F6" w:rsidRPr="00B71F43" w:rsidRDefault="00E13EF0">
      <w:pPr>
        <w:numPr>
          <w:ilvl w:val="0"/>
          <w:numId w:val="2"/>
        </w:numPr>
        <w:spacing w:before="0"/>
      </w:pPr>
      <w:r w:rsidRPr="00B71F43">
        <w:t>Pozycja 4: Na przedniej krawędzi uchwytu kontrolera znajduje się spust lub przycisk, który jest obsługiwany palcem wskazującym. Służy do podnoszenia przedmiotów.</w:t>
      </w:r>
    </w:p>
    <w:p w14:paraId="6D804468" w14:textId="77777777" w:rsidR="003467F6" w:rsidRPr="00B71F43" w:rsidRDefault="00E13EF0">
      <w:pPr>
        <w:ind w:left="0"/>
      </w:pPr>
      <w:r w:rsidRPr="00B71F43">
        <w:t>Na prawym kontrolerze:</w:t>
      </w:r>
    </w:p>
    <w:p w14:paraId="6CCD33CD" w14:textId="77777777" w:rsidR="003467F6" w:rsidRPr="00B71F43" w:rsidRDefault="00E13EF0">
      <w:pPr>
        <w:numPr>
          <w:ilvl w:val="0"/>
          <w:numId w:val="5"/>
        </w:numPr>
        <w:spacing w:after="0"/>
      </w:pPr>
      <w:r w:rsidRPr="00B71F43">
        <w:t xml:space="preserve">Pozycja 5: Na górnej, zaokrąglonej części kontrolera znajduje się analogowy joystick lub okrągły przycisk dotykowy, umieszczony w górnej prawej części powierzchni. Służy do kontroli </w:t>
      </w:r>
      <w:proofErr w:type="spellStart"/>
      <w:r w:rsidRPr="00B71F43">
        <w:t>drona</w:t>
      </w:r>
      <w:proofErr w:type="spellEnd"/>
      <w:r w:rsidRPr="00B71F43">
        <w:t xml:space="preserve"> (zależnie od wybranego trybu), a wciśnięcie gałki analogowej umożliwia oznaczenie miejsca.</w:t>
      </w:r>
    </w:p>
    <w:p w14:paraId="17494094" w14:textId="77777777" w:rsidR="003467F6" w:rsidRPr="00B71F43" w:rsidRDefault="00E13EF0">
      <w:pPr>
        <w:numPr>
          <w:ilvl w:val="0"/>
          <w:numId w:val="5"/>
        </w:numPr>
        <w:spacing w:before="0" w:after="0"/>
      </w:pPr>
      <w:r w:rsidRPr="00B71F43">
        <w:t>Pozycja 6: W lewej części górnej powierzchni znajdują się dwa okrągłe przyciski oznaczone literami A i B, ułożone jeden pod drugim. Służą do ruchu kamerą do góry.</w:t>
      </w:r>
    </w:p>
    <w:p w14:paraId="703F200A" w14:textId="77777777" w:rsidR="003467F6" w:rsidRPr="00B71F43" w:rsidRDefault="00E13EF0">
      <w:pPr>
        <w:numPr>
          <w:ilvl w:val="0"/>
          <w:numId w:val="5"/>
        </w:numPr>
        <w:spacing w:before="0" w:after="0"/>
      </w:pPr>
      <w:r w:rsidRPr="00B71F43">
        <w:t>Pozycja 7: Dolna część górnej powierzchni kontrolera, podobnie jak w lewym kontrolerze. Służy do ruchu kamerą w dół.</w:t>
      </w:r>
    </w:p>
    <w:p w14:paraId="40BD1B44" w14:textId="77777777" w:rsidR="003467F6" w:rsidRPr="00B71F43" w:rsidRDefault="00E13EF0">
      <w:pPr>
        <w:numPr>
          <w:ilvl w:val="0"/>
          <w:numId w:val="5"/>
        </w:numPr>
        <w:spacing w:before="0"/>
      </w:pPr>
      <w:r w:rsidRPr="00B71F43">
        <w:t>Pozycja 8: Na przedniej krawędzi uchwytu kontrolera znajduje się spust lub przycisk, analogiczny do tego w pozycji 4 na lewym kontrolerze. Służy do podnoszenia przedmiotów.</w:t>
      </w:r>
    </w:p>
    <w:p w14:paraId="31CBCE74" w14:textId="77777777" w:rsidR="003467F6" w:rsidRPr="00B71F43" w:rsidRDefault="00E13EF0" w:rsidP="00B71F43">
      <w:pPr>
        <w:numPr>
          <w:ilvl w:val="0"/>
          <w:numId w:val="5"/>
        </w:numPr>
        <w:spacing w:before="0"/>
      </w:pPr>
      <w:r w:rsidRPr="00B71F43">
        <w:t xml:space="preserve">Pozycja 9: Pokazuje boczny widok kontrolera, gdzie widać profil urządzenia z wygodnym uchwytem i widocznym spustem na przedniej krawędzi, </w:t>
      </w:r>
      <w:r w:rsidRPr="00B71F43">
        <w:lastRenderedPageBreak/>
        <w:t xml:space="preserve">dostosowanym do naturalnego ułożenia palca wskazującego podczas trzymania kontrolera. Spust służy do interakcji z interfejsem użytkownika i zatwierdzania, natomiast lewy </w:t>
      </w:r>
      <w:proofErr w:type="spellStart"/>
      <w:r w:rsidRPr="00B71F43">
        <w:t>trigger</w:t>
      </w:r>
      <w:proofErr w:type="spellEnd"/>
      <w:r w:rsidRPr="00B71F43">
        <w:t xml:space="preserve"> umożliwia zmianę mapy.</w:t>
      </w:r>
    </w:p>
    <w:p w14:paraId="337DC232" w14:textId="4A349BEE" w:rsidR="003467F6" w:rsidRDefault="00E13EF0" w:rsidP="00B71F43">
      <w:pPr>
        <w:spacing w:after="360"/>
        <w:ind w:left="0"/>
      </w:pPr>
      <w:r w:rsidRPr="00B71F43">
        <w:t xml:space="preserve">Kontrolery mają ergonomiczny kształt przystosowany do trzymania w dłoniach, z przyciskami rozmieszczonymi tak, aby były łatwo dostępne dla kciuków i palców wskazujących podczas obsługi </w:t>
      </w:r>
      <w:proofErr w:type="spellStart"/>
      <w:r w:rsidRPr="00B71F43">
        <w:t>drona</w:t>
      </w:r>
      <w:proofErr w:type="spellEnd"/>
      <w:r w:rsidRPr="00B71F43">
        <w:t xml:space="preserve"> i interakcji w wirtualnej rzeczywistości.</w:t>
      </w:r>
    </w:p>
    <w:p w14:paraId="7A8FB561" w14:textId="4D28F1CD" w:rsidR="003467F6" w:rsidRPr="00C61E14" w:rsidRDefault="00E13EF0" w:rsidP="00C61E14">
      <w:pPr>
        <w:pStyle w:val="Nagwek1"/>
        <w:numPr>
          <w:ilvl w:val="0"/>
          <w:numId w:val="11"/>
        </w:numPr>
        <w:shd w:val="clear" w:color="auto" w:fill="D0CECE"/>
        <w:tabs>
          <w:tab w:val="left" w:pos="284"/>
        </w:tabs>
        <w:spacing w:before="200" w:after="200"/>
        <w:ind w:left="0" w:hanging="426"/>
        <w:rPr>
          <w:caps w:val="0"/>
          <w:color w:val="000000"/>
          <w:sz w:val="28"/>
          <w:szCs w:val="28"/>
        </w:rPr>
      </w:pPr>
      <w:bookmarkStart w:id="10" w:name="_Toc192249836"/>
      <w:r w:rsidRPr="00C61E14">
        <w:rPr>
          <w:caps w:val="0"/>
          <w:color w:val="000000"/>
          <w:sz w:val="28"/>
          <w:szCs w:val="28"/>
        </w:rPr>
        <w:t>Ostrzeżenia</w:t>
      </w:r>
      <w:bookmarkEnd w:id="10"/>
    </w:p>
    <w:p w14:paraId="762E336F" w14:textId="77777777" w:rsidR="003467F6" w:rsidRDefault="00E13EF0">
      <w:pPr>
        <w:ind w:left="0"/>
        <w:rPr>
          <w:sz w:val="28"/>
          <w:szCs w:val="28"/>
        </w:rPr>
      </w:pPr>
      <w:r>
        <w:rPr>
          <w:noProof/>
          <w:sz w:val="28"/>
          <w:szCs w:val="28"/>
        </w:rPr>
        <w:drawing>
          <wp:inline distT="114300" distB="114300" distL="114300" distR="114300" wp14:anchorId="33CE9BC7" wp14:editId="183AFBA9">
            <wp:extent cx="5760410" cy="4076700"/>
            <wp:effectExtent l="0" t="0" r="0" b="0"/>
            <wp:docPr id="2069789015" name="image2.png" descr="Obrazek przedstawia ostrzeżenie dotyczące gogli VR (wirtualnej rzeczywistości). Na szarym tle, u góry widnieje duży napis &quot;UWAGA!&quot; napisany białymi literami.&#10;Po lewej stronie znajduje się grafika przedstawiająca przekreślone słońce (żółte słońce z promienistymi krawędziami otoczone czerwonym okręgiem z ukośną kreską przekreślającą), co symbolizuje zakaz wystawiania na działanie słońca.&#10;Po prawej stronie widoczne są gogle VR w kolorze białym, z widocznym czarnym frontem i soczewkami, które odbijają niebieskawe światło.&#10;Na dole obrazka, w czerwonej ramce, znajduje się biały napis ostrzegawczy: &quot;Chroń soczewki gogli przed wypaleniem od światła słonecznego&quot;.&#10;Całość ma charakter ostrzeżenia technicznego, informującego użytkowników o konieczności ochrony soczewek gogli VR przed bezpośrednim światłem słonecznym, które może uszkodzić urządzenie poprzez wypalenie elementów optycznych.&#10;"/>
            <wp:cNvGraphicFramePr/>
            <a:graphic xmlns:a="http://schemas.openxmlformats.org/drawingml/2006/main">
              <a:graphicData uri="http://schemas.openxmlformats.org/drawingml/2006/picture">
                <pic:pic xmlns:pic="http://schemas.openxmlformats.org/drawingml/2006/picture">
                  <pic:nvPicPr>
                    <pic:cNvPr id="0" name="image2.png" descr="Obrazek przedstawia ostrzeżenie dotyczące gogli VR (wirtualnej rzeczywistości). Na szarym tle, u góry widnieje duży napis &quot;UWAGA!&quot; napisany białymi literami.&#10;Po lewej stronie znajduje się grafika przedstawiająca przekreślone słońce (żółte słońce z promienistymi krawędziami otoczone czerwonym okręgiem z ukośną kreską przekreślającą), co symbolizuje zakaz wystawiania na działanie słońca.&#10;Po prawej stronie widoczne są gogle VR w kolorze białym, z widocznym czarnym frontem i soczewkami, które odbijają niebieskawe światło.&#10;Na dole obrazka, w czerwonej ramce, znajduje się biały napis ostrzegawczy: &quot;Chroń soczewki gogli przed wypaleniem od światła słonecznego&quot;.&#10;Całość ma charakter ostrzeżenia technicznego, informującego użytkowników o konieczności ochrony soczewek gogli VR przed bezpośrednim światłem słonecznym, które może uszkodzić urządzenie poprzez wypalenie elementów optycznych.&#10;"/>
                    <pic:cNvPicPr preferRelativeResize="0"/>
                  </pic:nvPicPr>
                  <pic:blipFill>
                    <a:blip r:embed="rId16"/>
                    <a:srcRect/>
                    <a:stretch>
                      <a:fillRect/>
                    </a:stretch>
                  </pic:blipFill>
                  <pic:spPr>
                    <a:xfrm>
                      <a:off x="0" y="0"/>
                      <a:ext cx="5760410" cy="4076700"/>
                    </a:xfrm>
                    <a:prstGeom prst="rect">
                      <a:avLst/>
                    </a:prstGeom>
                    <a:ln/>
                  </pic:spPr>
                </pic:pic>
              </a:graphicData>
            </a:graphic>
          </wp:inline>
        </w:drawing>
      </w:r>
    </w:p>
    <w:p w14:paraId="65782A6C" w14:textId="77777777" w:rsidR="003467F6" w:rsidRDefault="00E13EF0">
      <w:pPr>
        <w:spacing w:before="0" w:line="240" w:lineRule="auto"/>
        <w:ind w:left="0"/>
        <w:rPr>
          <w:sz w:val="24"/>
          <w:szCs w:val="24"/>
        </w:rPr>
      </w:pPr>
      <w:r>
        <w:rPr>
          <w:b/>
          <w:sz w:val="24"/>
          <w:szCs w:val="24"/>
        </w:rPr>
        <w:t>[Fig. 2]</w:t>
      </w:r>
      <w:r>
        <w:rPr>
          <w:sz w:val="24"/>
          <w:szCs w:val="24"/>
        </w:rPr>
        <w:t xml:space="preserve"> Obrazek przedstawia ostrzeżenie dotyczące gogli VR (wirtualnej rzeczywistości). Na szarym tle, u góry widnieje duży napis "UWAGA!" napisany białymi literami.</w:t>
      </w:r>
    </w:p>
    <w:p w14:paraId="4E00703D" w14:textId="77777777" w:rsidR="003467F6" w:rsidRDefault="00E13EF0">
      <w:pPr>
        <w:spacing w:before="240"/>
        <w:ind w:left="0"/>
      </w:pPr>
      <w:r>
        <w:t>Po lewej stronie znajduje się grafika przedstawiająca przekreślone słońce (żółte słońce z promienistymi krawędziami otoczone czerwonym okręgiem z ukośną kreską przekreślającą), co symbolizuje zakaz wystawiania na działanie słońca.</w:t>
      </w:r>
    </w:p>
    <w:p w14:paraId="01DEA96F" w14:textId="77777777" w:rsidR="003467F6" w:rsidRDefault="00E13EF0">
      <w:pPr>
        <w:spacing w:before="240"/>
        <w:ind w:left="0"/>
      </w:pPr>
      <w:r>
        <w:t>Po prawej stronie widoczne są gogle VR w kolorze białym, z widocznym czarnym frontem i soczewkami, które odbijają niebieskawe światło.</w:t>
      </w:r>
    </w:p>
    <w:p w14:paraId="5616AF8F" w14:textId="77777777" w:rsidR="003467F6" w:rsidRDefault="00E13EF0">
      <w:pPr>
        <w:spacing w:before="240"/>
        <w:ind w:left="0"/>
      </w:pPr>
      <w:r>
        <w:lastRenderedPageBreak/>
        <w:t>Na dole obrazka, w czerwonej ramce, znajduje się biały napis ostrzegawczy: "Chroń soczewki gogli przed wypaleniem od światła słonecznego".</w:t>
      </w:r>
    </w:p>
    <w:p w14:paraId="3F59EF8C" w14:textId="77777777" w:rsidR="003467F6" w:rsidRDefault="00E13EF0">
      <w:pPr>
        <w:spacing w:before="240"/>
        <w:ind w:left="0"/>
      </w:pPr>
      <w:r>
        <w:t>Całość ma charakter ostrzeżenia technicznego, informującego użytkowników o konieczności ochrony soczewek gogli VR przed bezpośrednim światłem słonecznym, które może uszkodzić urządzenie poprzez wypalenie elementów optycznych.</w:t>
      </w:r>
    </w:p>
    <w:p w14:paraId="78479C3B" w14:textId="0349713D" w:rsidR="003467F6" w:rsidRDefault="00E13EF0" w:rsidP="00B71F43">
      <w:pPr>
        <w:spacing w:after="360"/>
        <w:ind w:left="0"/>
        <w:rPr>
          <w:color w:val="1155CC"/>
          <w:u w:val="single"/>
        </w:rPr>
      </w:pPr>
      <w:r>
        <w:t xml:space="preserve">Plik wektorowy: </w:t>
      </w:r>
      <w:hyperlink r:id="rId17">
        <w:r w:rsidR="003467F6">
          <w:rPr>
            <w:color w:val="1155CC"/>
            <w:highlight w:val="white"/>
            <w:u w:val="single"/>
          </w:rPr>
          <w:t>https://drive.google.com/file/d/1prAelejYhBEaslcr3ulcWYj5BvGZo2Zw/view</w:t>
        </w:r>
      </w:hyperlink>
    </w:p>
    <w:p w14:paraId="4E70B7BB" w14:textId="6E7C125E" w:rsidR="00775ABA" w:rsidRPr="00C61E14" w:rsidRDefault="00775ABA" w:rsidP="00775ABA">
      <w:pPr>
        <w:pStyle w:val="Nagwek1"/>
        <w:numPr>
          <w:ilvl w:val="0"/>
          <w:numId w:val="11"/>
        </w:numPr>
        <w:shd w:val="clear" w:color="auto" w:fill="D0CECE"/>
        <w:tabs>
          <w:tab w:val="left" w:pos="284"/>
        </w:tabs>
        <w:spacing w:before="200" w:after="200"/>
        <w:ind w:left="0" w:hanging="426"/>
        <w:rPr>
          <w:caps w:val="0"/>
          <w:color w:val="000000"/>
          <w:sz w:val="28"/>
          <w:szCs w:val="28"/>
        </w:rPr>
      </w:pPr>
      <w:bookmarkStart w:id="11" w:name="_Toc192249837"/>
      <w:r>
        <w:rPr>
          <w:caps w:val="0"/>
          <w:color w:val="000000"/>
          <w:sz w:val="28"/>
          <w:szCs w:val="28"/>
        </w:rPr>
        <w:t>Informacje wyświetlone podczas lotu</w:t>
      </w:r>
      <w:bookmarkEnd w:id="11"/>
    </w:p>
    <w:p w14:paraId="3389F45F" w14:textId="6C669135" w:rsidR="00775ABA" w:rsidRPr="004F4135" w:rsidRDefault="00775ABA" w:rsidP="004F4135">
      <w:pPr>
        <w:numPr>
          <w:ilvl w:val="0"/>
          <w:numId w:val="17"/>
        </w:numPr>
        <w:spacing w:before="0" w:after="0"/>
        <w:ind w:left="278" w:hanging="357"/>
      </w:pPr>
      <w:r w:rsidRPr="004F4135">
        <w:t>Wysokość w metrach</w:t>
      </w:r>
      <w:r w:rsidR="004F4135">
        <w:t>.</w:t>
      </w:r>
    </w:p>
    <w:p w14:paraId="57CC44ED" w14:textId="79EA186A" w:rsidR="00775ABA" w:rsidRPr="004F4135" w:rsidRDefault="00775ABA" w:rsidP="004F4135">
      <w:pPr>
        <w:numPr>
          <w:ilvl w:val="0"/>
          <w:numId w:val="17"/>
        </w:numPr>
        <w:spacing w:before="0" w:after="0"/>
        <w:ind w:left="278" w:hanging="357"/>
      </w:pPr>
      <w:r w:rsidRPr="004F4135">
        <w:t>Prędkość wznoszenia / opadania w m/s.</w:t>
      </w:r>
    </w:p>
    <w:p w14:paraId="24B7A0B5" w14:textId="35DDA1C1" w:rsidR="00775ABA" w:rsidRPr="004F4135" w:rsidRDefault="00775ABA" w:rsidP="004F4135">
      <w:pPr>
        <w:numPr>
          <w:ilvl w:val="0"/>
          <w:numId w:val="17"/>
        </w:numPr>
        <w:spacing w:before="0" w:after="0"/>
        <w:ind w:left="278" w:hanging="357"/>
      </w:pPr>
      <w:r w:rsidRPr="004F4135">
        <w:t>Prędkość pozioma w km/h</w:t>
      </w:r>
      <w:r w:rsidR="004F4135">
        <w:t>.</w:t>
      </w:r>
    </w:p>
    <w:p w14:paraId="3DC4366F" w14:textId="12933A90" w:rsidR="00775ABA" w:rsidRPr="004F4135" w:rsidRDefault="00775ABA" w:rsidP="004F4135">
      <w:pPr>
        <w:numPr>
          <w:ilvl w:val="0"/>
          <w:numId w:val="17"/>
        </w:numPr>
        <w:spacing w:before="0" w:after="0"/>
        <w:ind w:left="278" w:hanging="357"/>
      </w:pPr>
      <w:r w:rsidRPr="004F4135">
        <w:t>Odległość od miejsca startu</w:t>
      </w:r>
      <w:r w:rsidR="004F4135">
        <w:t>.</w:t>
      </w:r>
    </w:p>
    <w:p w14:paraId="4A811DDD" w14:textId="48725CAB" w:rsidR="00775ABA" w:rsidRPr="004F4135" w:rsidRDefault="00775ABA" w:rsidP="004F4135">
      <w:pPr>
        <w:numPr>
          <w:ilvl w:val="0"/>
          <w:numId w:val="17"/>
        </w:numPr>
        <w:spacing w:before="0" w:after="0"/>
        <w:ind w:left="278" w:hanging="357"/>
      </w:pPr>
      <w:r w:rsidRPr="004F4135">
        <w:t>Kurs geograficzny (kompas).</w:t>
      </w:r>
    </w:p>
    <w:p w14:paraId="6659D613" w14:textId="4FF1D6A6" w:rsidR="00775ABA" w:rsidRPr="004F4135" w:rsidRDefault="00775ABA" w:rsidP="004F4135">
      <w:pPr>
        <w:numPr>
          <w:ilvl w:val="0"/>
          <w:numId w:val="17"/>
        </w:numPr>
        <w:spacing w:before="0" w:after="0"/>
        <w:ind w:left="278" w:hanging="357"/>
      </w:pPr>
      <w:r w:rsidRPr="004F4135">
        <w:t xml:space="preserve">Mapa w trybie </w:t>
      </w:r>
      <w:proofErr w:type="spellStart"/>
      <w:r w:rsidRPr="004F4135">
        <w:t>ortofotomapa</w:t>
      </w:r>
      <w:proofErr w:type="spellEnd"/>
      <w:r w:rsidRPr="004F4135">
        <w:t xml:space="preserve"> lub topograficzna (ze wskazaniem kursu do miejsca startu). </w:t>
      </w:r>
    </w:p>
    <w:p w14:paraId="0BC485C9" w14:textId="1BF023DB" w:rsidR="00775ABA" w:rsidRPr="004F4135" w:rsidRDefault="00775ABA" w:rsidP="004F4135">
      <w:pPr>
        <w:numPr>
          <w:ilvl w:val="0"/>
          <w:numId w:val="17"/>
        </w:numPr>
        <w:spacing w:before="0" w:after="0"/>
        <w:ind w:left="278" w:hanging="357"/>
      </w:pPr>
      <w:r w:rsidRPr="004F4135">
        <w:t>Tryb lotu: BVLOS (po zasłonięciu przez obiekt, lub po odleceniu na 500m) / VLOS / FPV ( gdy nakładamy wirtualne gogle).</w:t>
      </w:r>
    </w:p>
    <w:p w14:paraId="669C567B" w14:textId="3A17AD74" w:rsidR="00775ABA" w:rsidRPr="004F4135" w:rsidRDefault="00775ABA" w:rsidP="004F4135">
      <w:pPr>
        <w:numPr>
          <w:ilvl w:val="0"/>
          <w:numId w:val="17"/>
        </w:numPr>
        <w:spacing w:before="0" w:after="0"/>
        <w:ind w:left="278" w:hanging="357"/>
      </w:pPr>
      <w:r w:rsidRPr="004F4135">
        <w:t>Stan naładowania baterii.</w:t>
      </w:r>
    </w:p>
    <w:p w14:paraId="39660372" w14:textId="6157D066" w:rsidR="00775ABA" w:rsidRPr="004F4135" w:rsidRDefault="00775ABA" w:rsidP="004F4135">
      <w:pPr>
        <w:numPr>
          <w:ilvl w:val="0"/>
          <w:numId w:val="17"/>
        </w:numPr>
        <w:spacing w:before="0" w:after="0"/>
        <w:ind w:left="278" w:hanging="357"/>
      </w:pPr>
      <w:r w:rsidRPr="004F4135">
        <w:t>Sygnał GPS.</w:t>
      </w:r>
    </w:p>
    <w:p w14:paraId="00E2C003" w14:textId="0BF4EC5D" w:rsidR="00775ABA" w:rsidRPr="004F4135" w:rsidRDefault="00775ABA" w:rsidP="004F4135">
      <w:pPr>
        <w:numPr>
          <w:ilvl w:val="0"/>
          <w:numId w:val="17"/>
        </w:numPr>
        <w:spacing w:before="0" w:after="0"/>
        <w:ind w:left="278" w:hanging="357"/>
      </w:pPr>
      <w:r w:rsidRPr="004F4135">
        <w:t xml:space="preserve"> Dźwięk na poziomie gruntu.</w:t>
      </w:r>
    </w:p>
    <w:p w14:paraId="45D7F5E2" w14:textId="4E1C6F98" w:rsidR="00775ABA" w:rsidRPr="004F4135" w:rsidRDefault="00775ABA" w:rsidP="004F4135">
      <w:pPr>
        <w:numPr>
          <w:ilvl w:val="0"/>
          <w:numId w:val="17"/>
        </w:numPr>
        <w:spacing w:before="0" w:after="0"/>
        <w:ind w:left="278" w:hanging="357"/>
      </w:pPr>
      <w:r w:rsidRPr="004F4135">
        <w:t xml:space="preserve"> Zasięg C2C.</w:t>
      </w:r>
    </w:p>
    <w:p w14:paraId="33F202D2" w14:textId="353A6ACC" w:rsidR="00775ABA" w:rsidRPr="004F4135" w:rsidRDefault="00775ABA" w:rsidP="00187CBD">
      <w:pPr>
        <w:numPr>
          <w:ilvl w:val="0"/>
          <w:numId w:val="17"/>
        </w:numPr>
        <w:spacing w:before="0"/>
        <w:ind w:left="278" w:hanging="357"/>
      </w:pPr>
      <w:r w:rsidRPr="004F4135">
        <w:t xml:space="preserve"> Miernik laserowy</w:t>
      </w:r>
      <w:r w:rsidR="004F4135">
        <w:t>.</w:t>
      </w:r>
    </w:p>
    <w:p w14:paraId="625E1638" w14:textId="69B0207B" w:rsidR="003467F6" w:rsidRPr="00C61E14" w:rsidRDefault="006863D3" w:rsidP="00C61E14">
      <w:pPr>
        <w:pStyle w:val="Nagwek1"/>
        <w:numPr>
          <w:ilvl w:val="0"/>
          <w:numId w:val="11"/>
        </w:numPr>
        <w:shd w:val="clear" w:color="auto" w:fill="D0CECE"/>
        <w:tabs>
          <w:tab w:val="left" w:pos="284"/>
        </w:tabs>
        <w:spacing w:before="200" w:after="200"/>
        <w:ind w:left="0" w:hanging="426"/>
        <w:rPr>
          <w:caps w:val="0"/>
          <w:color w:val="000000"/>
          <w:sz w:val="28"/>
          <w:szCs w:val="28"/>
        </w:rPr>
      </w:pPr>
      <w:bookmarkStart w:id="12" w:name="_heading=h.jf4qkgside1k" w:colFirst="0" w:colLast="0"/>
      <w:bookmarkStart w:id="13" w:name="_Toc192249838"/>
      <w:bookmarkEnd w:id="12"/>
      <w:r>
        <w:rPr>
          <w:caps w:val="0"/>
          <w:color w:val="000000"/>
          <w:sz w:val="28"/>
          <w:szCs w:val="28"/>
        </w:rPr>
        <w:t>Komunikaty</w:t>
      </w:r>
      <w:r w:rsidR="00775ABA">
        <w:rPr>
          <w:caps w:val="0"/>
          <w:color w:val="000000"/>
          <w:sz w:val="28"/>
          <w:szCs w:val="28"/>
        </w:rPr>
        <w:t xml:space="preserve"> w sytuacjach niestandardowych</w:t>
      </w:r>
      <w:bookmarkEnd w:id="13"/>
    </w:p>
    <w:p w14:paraId="67837EBF" w14:textId="2012B5EE" w:rsidR="00775ABA" w:rsidRPr="004F4135" w:rsidRDefault="00775ABA" w:rsidP="004F4135">
      <w:pPr>
        <w:numPr>
          <w:ilvl w:val="0"/>
          <w:numId w:val="18"/>
        </w:numPr>
        <w:spacing w:before="0" w:after="0"/>
      </w:pPr>
      <w:bookmarkStart w:id="14" w:name="_heading=h.ugaqbg3wl1dx" w:colFirst="0" w:colLast="0"/>
      <w:bookmarkEnd w:id="14"/>
      <w:r w:rsidRPr="004F4135">
        <w:t>Przekroczenie wysokości 120 AGL</w:t>
      </w:r>
      <w:r w:rsidR="004F4135">
        <w:t>.</w:t>
      </w:r>
    </w:p>
    <w:p w14:paraId="5776D3F9" w14:textId="08DA3EA3" w:rsidR="00775ABA" w:rsidRPr="004F4135" w:rsidRDefault="00775ABA" w:rsidP="004F4135">
      <w:pPr>
        <w:numPr>
          <w:ilvl w:val="0"/>
          <w:numId w:val="18"/>
        </w:numPr>
        <w:spacing w:before="0" w:after="0"/>
        <w:ind w:left="278" w:hanging="357"/>
      </w:pPr>
      <w:r w:rsidRPr="004F4135">
        <w:t>Stan naładowania baterii wymagający powrotu do bazy (60%, na żółto, 30% na czerwono)</w:t>
      </w:r>
      <w:r w:rsidR="004F4135">
        <w:t>.</w:t>
      </w:r>
    </w:p>
    <w:p w14:paraId="6E8C5634" w14:textId="144934AF" w:rsidR="00775ABA" w:rsidRPr="004F4135" w:rsidRDefault="00775ABA" w:rsidP="004F4135">
      <w:pPr>
        <w:numPr>
          <w:ilvl w:val="0"/>
          <w:numId w:val="18"/>
        </w:numPr>
        <w:spacing w:before="0" w:after="0"/>
        <w:ind w:left="278" w:hanging="357"/>
      </w:pPr>
      <w:r w:rsidRPr="004F4135">
        <w:t xml:space="preserve">Uszkodzenie </w:t>
      </w:r>
      <w:proofErr w:type="spellStart"/>
      <w:r w:rsidRPr="004F4135">
        <w:t>drona</w:t>
      </w:r>
      <w:proofErr w:type="spellEnd"/>
      <w:r w:rsidRPr="004F4135">
        <w:t xml:space="preserve"> w sytuacji twardego lądowania. </w:t>
      </w:r>
    </w:p>
    <w:p w14:paraId="45E6DC01" w14:textId="5B222BF8" w:rsidR="00775ABA" w:rsidRPr="004F4135" w:rsidRDefault="00775ABA" w:rsidP="004F4135">
      <w:pPr>
        <w:numPr>
          <w:ilvl w:val="0"/>
          <w:numId w:val="18"/>
        </w:numPr>
        <w:spacing w:before="0" w:after="0"/>
        <w:ind w:left="278" w:hanging="357"/>
      </w:pPr>
      <w:r w:rsidRPr="004F4135">
        <w:t xml:space="preserve">Zniszczenie </w:t>
      </w:r>
      <w:proofErr w:type="spellStart"/>
      <w:r w:rsidRPr="004F4135">
        <w:t>drona</w:t>
      </w:r>
      <w:proofErr w:type="spellEnd"/>
      <w:r w:rsidRPr="004F4135">
        <w:t xml:space="preserve"> – w sytuacji uszkodzenia w powietrzu</w:t>
      </w:r>
      <w:r w:rsidR="004F4135">
        <w:t>:</w:t>
      </w:r>
      <w:r w:rsidRPr="004F4135">
        <w:t xml:space="preserve"> </w:t>
      </w:r>
    </w:p>
    <w:p w14:paraId="05F5F28C" w14:textId="3B8AF125" w:rsidR="00775ABA" w:rsidRPr="004F4135" w:rsidRDefault="004F4135" w:rsidP="004F4135">
      <w:pPr>
        <w:numPr>
          <w:ilvl w:val="1"/>
          <w:numId w:val="18"/>
        </w:numPr>
        <w:spacing w:before="0" w:after="0"/>
      </w:pPr>
      <w:r>
        <w:t>w</w:t>
      </w:r>
      <w:r w:rsidR="00775ABA" w:rsidRPr="004F4135">
        <w:t xml:space="preserve"> scenariuszu 1, powrót do startu (domyślnie)</w:t>
      </w:r>
      <w:r>
        <w:t>;</w:t>
      </w:r>
    </w:p>
    <w:p w14:paraId="2B01FBA1" w14:textId="10BC4009" w:rsidR="00775ABA" w:rsidRPr="004F4135" w:rsidRDefault="004F4135" w:rsidP="004F4135">
      <w:pPr>
        <w:numPr>
          <w:ilvl w:val="1"/>
          <w:numId w:val="18"/>
        </w:numPr>
        <w:spacing w:before="0" w:after="0"/>
      </w:pPr>
      <w:r>
        <w:t>w</w:t>
      </w:r>
      <w:r w:rsidR="00775ABA" w:rsidRPr="004F4135">
        <w:t xml:space="preserve"> scenariuszach 2 i 3, dron kontynuuje lot (domyślnie)</w:t>
      </w:r>
      <w:r>
        <w:t>.</w:t>
      </w:r>
    </w:p>
    <w:p w14:paraId="2643893F" w14:textId="7FE548A5" w:rsidR="00775ABA" w:rsidRPr="004F4135" w:rsidRDefault="00775ABA" w:rsidP="004F4135">
      <w:pPr>
        <w:numPr>
          <w:ilvl w:val="0"/>
          <w:numId w:val="18"/>
        </w:numPr>
        <w:spacing w:before="0" w:after="0"/>
        <w:ind w:left="278" w:hanging="357"/>
      </w:pPr>
      <w:r w:rsidRPr="004F4135">
        <w:lastRenderedPageBreak/>
        <w:t>Domyślne ustawienia można zmienić z panelu ad</w:t>
      </w:r>
      <w:r w:rsidR="004F4135">
        <w:t>ministratora</w:t>
      </w:r>
      <w:r w:rsidRPr="004F4135">
        <w:t xml:space="preserve">.  </w:t>
      </w:r>
    </w:p>
    <w:p w14:paraId="028F0F60" w14:textId="6FB42D98" w:rsidR="00775ABA" w:rsidRPr="004F4135" w:rsidRDefault="00775ABA" w:rsidP="00187CBD">
      <w:pPr>
        <w:numPr>
          <w:ilvl w:val="0"/>
          <w:numId w:val="18"/>
        </w:numPr>
        <w:spacing w:before="0" w:after="1080"/>
        <w:ind w:left="278" w:hanging="357"/>
      </w:pPr>
      <w:r w:rsidRPr="004F4135">
        <w:t xml:space="preserve">Tryb powrotu do domu – tryb </w:t>
      </w:r>
      <w:r w:rsidR="004F4135">
        <w:t>„</w:t>
      </w:r>
      <w:proofErr w:type="spellStart"/>
      <w:r w:rsidRPr="004F4135">
        <w:t>failsafe</w:t>
      </w:r>
      <w:proofErr w:type="spellEnd"/>
      <w:r w:rsidR="004F4135">
        <w:t>”</w:t>
      </w:r>
      <w:r w:rsidRPr="004F4135">
        <w:t xml:space="preserve"> odbywa się jako operacja </w:t>
      </w:r>
      <w:r w:rsidR="00F82C2F" w:rsidRPr="004F4135">
        <w:t>w trybie lotu automatycznym.</w:t>
      </w:r>
    </w:p>
    <w:p w14:paraId="4FDC0E6B" w14:textId="32A48948" w:rsidR="00BD249A" w:rsidRPr="00187CBD" w:rsidRDefault="00C61E14" w:rsidP="00187CBD">
      <w:pPr>
        <w:pStyle w:val="Akapitzlist"/>
        <w:tabs>
          <w:tab w:val="left" w:pos="851"/>
        </w:tabs>
        <w:spacing w:before="120" w:after="0"/>
        <w:ind w:left="0"/>
        <w:rPr>
          <w:sz w:val="28"/>
          <w:szCs w:val="28"/>
        </w:rPr>
      </w:pPr>
      <w:r w:rsidRPr="00E63A33">
        <w:rPr>
          <w:sz w:val="28"/>
          <w:szCs w:val="28"/>
        </w:rPr>
        <w:t>#FunduszeUE #FunduszeEuropejskie</w:t>
      </w:r>
    </w:p>
    <w:p w14:paraId="5AB98B01" w14:textId="77777777" w:rsidR="00BD249A" w:rsidRPr="00BD249A" w:rsidRDefault="00BD249A" w:rsidP="00BD249A"/>
    <w:p w14:paraId="492EDEA8" w14:textId="77777777" w:rsidR="00BD249A" w:rsidRPr="00BD249A" w:rsidRDefault="00BD249A" w:rsidP="00BD249A">
      <w:pPr>
        <w:jc w:val="right"/>
      </w:pPr>
    </w:p>
    <w:sectPr w:rsidR="00BD249A" w:rsidRPr="00BD249A">
      <w:headerReference w:type="default" r:id="rId18"/>
      <w:footerReference w:type="default" r:id="rId19"/>
      <w:footerReference w:type="first" r:id="rId20"/>
      <w:pgSz w:w="11906" w:h="16838"/>
      <w:pgMar w:top="334" w:right="1417" w:bottom="426" w:left="1417" w:header="114" w:footer="8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3D840" w14:textId="77777777" w:rsidR="001B2606" w:rsidRDefault="001B2606">
      <w:pPr>
        <w:spacing w:before="0" w:after="0" w:line="240" w:lineRule="auto"/>
      </w:pPr>
      <w:r>
        <w:separator/>
      </w:r>
    </w:p>
  </w:endnote>
  <w:endnote w:type="continuationSeparator" w:id="0">
    <w:p w14:paraId="478CC4A6" w14:textId="77777777" w:rsidR="001B2606" w:rsidRDefault="001B26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A735" w14:textId="77777777" w:rsidR="003467F6" w:rsidRPr="00BD249A" w:rsidRDefault="00E13EF0">
    <w:pPr>
      <w:pBdr>
        <w:top w:val="nil"/>
        <w:left w:val="nil"/>
        <w:bottom w:val="nil"/>
        <w:right w:val="nil"/>
        <w:between w:val="nil"/>
      </w:pBdr>
      <w:tabs>
        <w:tab w:val="center" w:pos="4536"/>
        <w:tab w:val="right" w:pos="9072"/>
      </w:tabs>
      <w:spacing w:after="0" w:line="240" w:lineRule="auto"/>
      <w:ind w:left="0"/>
      <w:jc w:val="right"/>
      <w:rPr>
        <w:rFonts w:ascii="Cambria" w:eastAsia="Cambria" w:hAnsi="Cambria" w:cs="Cambria"/>
        <w:color w:val="000000"/>
      </w:rPr>
    </w:pPr>
    <w:r w:rsidRPr="00BD249A">
      <w:rPr>
        <w:color w:val="000000"/>
      </w:rPr>
      <w:t xml:space="preserve">Strona </w:t>
    </w:r>
    <w:r w:rsidRPr="00BD249A">
      <w:rPr>
        <w:color w:val="000000"/>
      </w:rPr>
      <w:fldChar w:fldCharType="begin"/>
    </w:r>
    <w:r w:rsidRPr="00BD249A">
      <w:rPr>
        <w:color w:val="000000"/>
      </w:rPr>
      <w:instrText>PAGE</w:instrText>
    </w:r>
    <w:r w:rsidRPr="00BD249A">
      <w:rPr>
        <w:color w:val="000000"/>
      </w:rPr>
      <w:fldChar w:fldCharType="separate"/>
    </w:r>
    <w:r w:rsidR="007A5461" w:rsidRPr="00BD249A">
      <w:rPr>
        <w:noProof/>
        <w:color w:val="000000"/>
      </w:rPr>
      <w:t>2</w:t>
    </w:r>
    <w:r w:rsidRPr="00BD249A">
      <w:rPr>
        <w:color w:val="000000"/>
      </w:rPr>
      <w:fldChar w:fldCharType="end"/>
    </w:r>
    <w:r w:rsidRPr="00BD249A">
      <w:rPr>
        <w:color w:val="000000"/>
      </w:rPr>
      <w:t xml:space="preserve"> z </w:t>
    </w:r>
    <w:r w:rsidRPr="00BD249A">
      <w:rPr>
        <w:color w:val="000000"/>
      </w:rPr>
      <w:fldChar w:fldCharType="begin"/>
    </w:r>
    <w:r w:rsidRPr="00BD249A">
      <w:rPr>
        <w:color w:val="000000"/>
      </w:rPr>
      <w:instrText>NUMPAGES</w:instrText>
    </w:r>
    <w:r w:rsidRPr="00BD249A">
      <w:rPr>
        <w:color w:val="000000"/>
      </w:rPr>
      <w:fldChar w:fldCharType="separate"/>
    </w:r>
    <w:r w:rsidR="007A5461" w:rsidRPr="00BD249A">
      <w:rPr>
        <w:noProof/>
        <w:color w:val="000000"/>
      </w:rPr>
      <w:t>3</w:t>
    </w:r>
    <w:r w:rsidRPr="00BD249A">
      <w:rPr>
        <w:color w:val="000000"/>
      </w:rPr>
      <w:fldChar w:fldCharType="end"/>
    </w:r>
  </w:p>
  <w:p w14:paraId="11B36B62" w14:textId="77777777" w:rsidR="003467F6" w:rsidRDefault="003467F6">
    <w:pPr>
      <w:pBdr>
        <w:top w:val="nil"/>
        <w:left w:val="nil"/>
        <w:bottom w:val="nil"/>
        <w:right w:val="nil"/>
        <w:between w:val="nil"/>
      </w:pBdr>
      <w:tabs>
        <w:tab w:val="center" w:pos="4536"/>
        <w:tab w:val="right" w:pos="9072"/>
      </w:tabs>
      <w:spacing w:after="0" w:line="240" w:lineRule="auto"/>
      <w:ind w:left="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D75B" w14:textId="77777777" w:rsidR="003467F6" w:rsidRDefault="00E13EF0">
    <w:pPr>
      <w:pBdr>
        <w:top w:val="nil"/>
        <w:left w:val="nil"/>
        <w:bottom w:val="nil"/>
        <w:right w:val="nil"/>
        <w:between w:val="nil"/>
      </w:pBdr>
      <w:tabs>
        <w:tab w:val="center" w:pos="4536"/>
        <w:tab w:val="right" w:pos="9072"/>
      </w:tabs>
      <w:spacing w:after="0" w:line="240" w:lineRule="auto"/>
      <w:ind w:left="0"/>
      <w:jc w:val="right"/>
      <w:rPr>
        <w:rFonts w:ascii="Cambria" w:eastAsia="Cambria" w:hAnsi="Cambria" w:cs="Cambria"/>
        <w:color w:val="000000"/>
        <w:sz w:val="20"/>
        <w:szCs w:val="20"/>
      </w:rPr>
    </w:pPr>
    <w:r>
      <w:rPr>
        <w:color w:val="000000"/>
        <w:sz w:val="24"/>
        <w:szCs w:val="24"/>
      </w:rPr>
      <w:t xml:space="preserve">Strona </w:t>
    </w:r>
    <w:r>
      <w:rPr>
        <w:color w:val="000000"/>
        <w:sz w:val="24"/>
        <w:szCs w:val="24"/>
      </w:rPr>
      <w:fldChar w:fldCharType="begin"/>
    </w:r>
    <w:r>
      <w:rPr>
        <w:color w:val="000000"/>
        <w:sz w:val="24"/>
        <w:szCs w:val="24"/>
      </w:rPr>
      <w:instrText>PAGE</w:instrText>
    </w:r>
    <w:r>
      <w:rPr>
        <w:color w:val="000000"/>
        <w:sz w:val="24"/>
        <w:szCs w:val="24"/>
      </w:rPr>
      <w:fldChar w:fldCharType="separate"/>
    </w:r>
    <w:r w:rsidR="007A5461">
      <w:rPr>
        <w:noProof/>
        <w:color w:val="000000"/>
        <w:sz w:val="24"/>
        <w:szCs w:val="24"/>
      </w:rPr>
      <w:t>1</w:t>
    </w:r>
    <w:r>
      <w:rPr>
        <w:color w:val="000000"/>
        <w:sz w:val="24"/>
        <w:szCs w:val="24"/>
      </w:rPr>
      <w:fldChar w:fldCharType="end"/>
    </w:r>
    <w:r>
      <w:rPr>
        <w:color w:val="000000"/>
        <w:sz w:val="24"/>
        <w:szCs w:val="24"/>
      </w:rPr>
      <w:t xml:space="preserve"> z </w:t>
    </w:r>
    <w:r>
      <w:rPr>
        <w:color w:val="000000"/>
        <w:sz w:val="24"/>
        <w:szCs w:val="24"/>
      </w:rPr>
      <w:fldChar w:fldCharType="begin"/>
    </w:r>
    <w:r>
      <w:rPr>
        <w:color w:val="000000"/>
        <w:sz w:val="24"/>
        <w:szCs w:val="24"/>
      </w:rPr>
      <w:instrText>NUMPAGES</w:instrText>
    </w:r>
    <w:r>
      <w:rPr>
        <w:color w:val="000000"/>
        <w:sz w:val="24"/>
        <w:szCs w:val="24"/>
      </w:rPr>
      <w:fldChar w:fldCharType="separate"/>
    </w:r>
    <w:r w:rsidR="007A5461">
      <w:rPr>
        <w:noProof/>
        <w:color w:val="000000"/>
        <w:sz w:val="24"/>
        <w:szCs w:val="24"/>
      </w:rPr>
      <w:t>2</w:t>
    </w:r>
    <w:r>
      <w:rPr>
        <w:color w:val="000000"/>
        <w:sz w:val="24"/>
        <w:szCs w:val="24"/>
      </w:rPr>
      <w:fldChar w:fldCharType="end"/>
    </w:r>
  </w:p>
  <w:p w14:paraId="01187D14" w14:textId="77777777" w:rsidR="003467F6" w:rsidRDefault="003467F6">
    <w:pPr>
      <w:pBdr>
        <w:top w:val="nil"/>
        <w:left w:val="nil"/>
        <w:bottom w:val="nil"/>
        <w:right w:val="nil"/>
        <w:between w:val="nil"/>
      </w:pBdr>
      <w:tabs>
        <w:tab w:val="center" w:pos="4536"/>
        <w:tab w:val="right" w:pos="9072"/>
      </w:tabs>
      <w:spacing w:after="0" w:line="240" w:lineRule="auto"/>
      <w:ind w:left="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A0395" w14:textId="77777777" w:rsidR="001B2606" w:rsidRDefault="001B2606">
      <w:pPr>
        <w:spacing w:before="0" w:after="0" w:line="240" w:lineRule="auto"/>
      </w:pPr>
      <w:r>
        <w:separator/>
      </w:r>
    </w:p>
  </w:footnote>
  <w:footnote w:type="continuationSeparator" w:id="0">
    <w:p w14:paraId="7484272D" w14:textId="77777777" w:rsidR="001B2606" w:rsidRDefault="001B260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6FB7" w14:textId="77777777" w:rsidR="003467F6" w:rsidRDefault="00E13EF0">
    <w:pPr>
      <w:pBdr>
        <w:top w:val="nil"/>
        <w:left w:val="nil"/>
        <w:bottom w:val="nil"/>
        <w:right w:val="nil"/>
        <w:between w:val="nil"/>
      </w:pBdr>
      <w:tabs>
        <w:tab w:val="center" w:pos="4536"/>
        <w:tab w:val="right" w:pos="9072"/>
      </w:tabs>
      <w:spacing w:line="240" w:lineRule="auto"/>
      <w:ind w:left="0"/>
      <w:jc w:val="center"/>
      <w:rPr>
        <w:color w:val="000000"/>
        <w:sz w:val="2"/>
        <w:szCs w:val="2"/>
      </w:rPr>
    </w:pPr>
    <w:r>
      <w:rPr>
        <w:noProof/>
        <w:color w:val="000000"/>
        <w:sz w:val="20"/>
        <w:szCs w:val="20"/>
      </w:rPr>
      <w:drawing>
        <wp:inline distT="0" distB="0" distL="0" distR="0" wp14:anchorId="702DC600" wp14:editId="2711E98F">
          <wp:extent cx="5760720" cy="794385"/>
          <wp:effectExtent l="0" t="0" r="0" b="0"/>
          <wp:docPr id="2069789020" name="image9.jpg"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wp:cNvGraphicFramePr/>
          <a:graphic xmlns:a="http://schemas.openxmlformats.org/drawingml/2006/main">
            <a:graphicData uri="http://schemas.openxmlformats.org/drawingml/2006/picture">
              <pic:pic xmlns:pic="http://schemas.openxmlformats.org/drawingml/2006/picture">
                <pic:nvPicPr>
                  <pic:cNvPr id="0" name="image9.jpg"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pic:cNvPicPr preferRelativeResize="0"/>
                </pic:nvPicPr>
                <pic:blipFill>
                  <a:blip r:embed="rId1"/>
                  <a:srcRect/>
                  <a:stretch>
                    <a:fillRect/>
                  </a:stretch>
                </pic:blipFill>
                <pic:spPr>
                  <a:xfrm>
                    <a:off x="0" y="0"/>
                    <a:ext cx="5760720" cy="794385"/>
                  </a:xfrm>
                  <a:prstGeom prst="rect">
                    <a:avLst/>
                  </a:prstGeom>
                  <a:ln/>
                </pic:spPr>
              </pic:pic>
            </a:graphicData>
          </a:graphic>
        </wp:inline>
      </w:drawing>
    </w:r>
    <w:r>
      <w:rPr>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D61"/>
    <w:multiLevelType w:val="multilevel"/>
    <w:tmpl w:val="98429C5A"/>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lvl>
    <w:lvl w:ilvl="2">
      <w:start w:val="1"/>
      <w:numFmt w:val="lowerRoman"/>
      <w:lvlText w:val="%3."/>
      <w:lvlJc w:val="right"/>
      <w:pPr>
        <w:ind w:left="850" w:hanging="28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640F46"/>
    <w:multiLevelType w:val="multilevel"/>
    <w:tmpl w:val="32CAB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5C7E9D"/>
    <w:multiLevelType w:val="multilevel"/>
    <w:tmpl w:val="DF4C165A"/>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rPr>
        <w:rFonts w:asciiTheme="minorHAnsi" w:hAnsiTheme="minorHAnsi" w:cstheme="minorHAnsi" w:hint="default"/>
      </w:rPr>
    </w:lvl>
    <w:lvl w:ilvl="2">
      <w:start w:val="1"/>
      <w:numFmt w:val="lowerRoman"/>
      <w:lvlText w:val="%3."/>
      <w:lvlJc w:val="right"/>
      <w:pPr>
        <w:ind w:left="850" w:hanging="285"/>
      </w:pPr>
      <w:rPr>
        <w:rFonts w:asciiTheme="minorHAnsi" w:hAnsiTheme="minorHAnsi" w:cstheme="minorHAns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7702C4"/>
    <w:multiLevelType w:val="multilevel"/>
    <w:tmpl w:val="7CD0C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676AEB"/>
    <w:multiLevelType w:val="multilevel"/>
    <w:tmpl w:val="296EB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6654B6"/>
    <w:multiLevelType w:val="multilevel"/>
    <w:tmpl w:val="386E5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A65B88"/>
    <w:multiLevelType w:val="multilevel"/>
    <w:tmpl w:val="AE1AB5EC"/>
    <w:lvl w:ilvl="0">
      <w:start w:val="1"/>
      <w:numFmt w:val="decimal"/>
      <w:lvlText w:val="%1)"/>
      <w:lvlJc w:val="left"/>
      <w:pPr>
        <w:ind w:left="644" w:hanging="359"/>
      </w:pPr>
      <w:rPr>
        <w:rFonts w:ascii="Calibri" w:eastAsia="Calibri" w:hAnsi="Calibri" w:cs="Calibri"/>
        <w:b w:val="0"/>
        <w:i w:val="0"/>
        <w:sz w:val="26"/>
        <w:szCs w:val="26"/>
      </w:rPr>
    </w:lvl>
    <w:lvl w:ilvl="1">
      <w:start w:val="1"/>
      <w:numFmt w:val="upperLetter"/>
      <w:lvlText w:val="%2."/>
      <w:lvlJc w:val="left"/>
      <w:pPr>
        <w:ind w:left="566" w:hanging="359"/>
      </w:pPr>
    </w:lvl>
    <w:lvl w:ilvl="2">
      <w:start w:val="1"/>
      <w:numFmt w:val="lowerRoman"/>
      <w:lvlText w:val="%3."/>
      <w:lvlJc w:val="right"/>
      <w:pPr>
        <w:ind w:left="85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BD39B0"/>
    <w:multiLevelType w:val="multilevel"/>
    <w:tmpl w:val="962821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78479E4"/>
    <w:multiLevelType w:val="multilevel"/>
    <w:tmpl w:val="EBA49854"/>
    <w:lvl w:ilvl="0">
      <w:start w:val="5"/>
      <w:numFmt w:val="upperRoman"/>
      <w:lvlText w:val="%1."/>
      <w:lvlJc w:val="left"/>
      <w:pPr>
        <w:ind w:left="1080" w:hanging="720"/>
      </w:pPr>
      <w:rPr>
        <w:rFonts w:ascii="Calibri" w:eastAsia="Calibri" w:hAnsi="Calibri" w:cs="Calibri"/>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F60B77"/>
    <w:multiLevelType w:val="multilevel"/>
    <w:tmpl w:val="6D7CC05A"/>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rPr>
        <w:rFonts w:asciiTheme="minorHAnsi" w:hAnsiTheme="minorHAnsi" w:cstheme="minorHAns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6318BB"/>
    <w:multiLevelType w:val="multilevel"/>
    <w:tmpl w:val="6D7CC05A"/>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rPr>
        <w:rFonts w:asciiTheme="minorHAnsi" w:hAnsiTheme="minorHAnsi" w:cstheme="minorHAns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F2D3A"/>
    <w:multiLevelType w:val="multilevel"/>
    <w:tmpl w:val="3E8E2968"/>
    <w:lvl w:ilvl="0">
      <w:start w:val="1"/>
      <w:numFmt w:val="upperRoman"/>
      <w:lvlText w:val="%1."/>
      <w:lvlJc w:val="left"/>
      <w:pPr>
        <w:ind w:left="1080" w:hanging="720"/>
      </w:pPr>
      <w:rPr>
        <w:rFonts w:ascii="Calibri" w:eastAsia="Calibri" w:hAnsi="Calibri" w:cs="Calibri"/>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839A6"/>
    <w:multiLevelType w:val="multilevel"/>
    <w:tmpl w:val="5F22159E"/>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lvl>
    <w:lvl w:ilvl="2">
      <w:start w:val="1"/>
      <w:numFmt w:val="lowerRoman"/>
      <w:lvlText w:val="%3."/>
      <w:lvlJc w:val="right"/>
      <w:pPr>
        <w:ind w:left="850" w:hanging="28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9C75EB"/>
    <w:multiLevelType w:val="multilevel"/>
    <w:tmpl w:val="6D7CC05A"/>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rPr>
        <w:rFonts w:asciiTheme="minorHAnsi" w:hAnsiTheme="minorHAnsi" w:cstheme="minorHAns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50747D"/>
    <w:multiLevelType w:val="multilevel"/>
    <w:tmpl w:val="9FD8C742"/>
    <w:lvl w:ilvl="0">
      <w:start w:val="1"/>
      <w:numFmt w:val="bullet"/>
      <w:lvlText w:val="●"/>
      <w:lvlJc w:val="left"/>
      <w:pPr>
        <w:ind w:left="720" w:hanging="360"/>
      </w:pPr>
      <w:rPr>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0849C1"/>
    <w:multiLevelType w:val="multilevel"/>
    <w:tmpl w:val="B364A32A"/>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rPr>
        <w:b w:val="0"/>
        <w:bCs/>
      </w:rPr>
    </w:lvl>
    <w:lvl w:ilvl="2">
      <w:start w:val="1"/>
      <w:numFmt w:val="lowerRoman"/>
      <w:lvlText w:val="%3."/>
      <w:lvlJc w:val="right"/>
      <w:pPr>
        <w:ind w:left="850" w:hanging="28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5448EE"/>
    <w:multiLevelType w:val="multilevel"/>
    <w:tmpl w:val="4726F2B0"/>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lvl>
    <w:lvl w:ilvl="2">
      <w:start w:val="1"/>
      <w:numFmt w:val="lowerRoman"/>
      <w:lvlText w:val="%3."/>
      <w:lvlJc w:val="right"/>
      <w:pPr>
        <w:ind w:left="850" w:hanging="28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B954C58"/>
    <w:multiLevelType w:val="multilevel"/>
    <w:tmpl w:val="E8382934"/>
    <w:lvl w:ilvl="0">
      <w:start w:val="1"/>
      <w:numFmt w:val="decimal"/>
      <w:lvlText w:val="%1)"/>
      <w:lvlJc w:val="left"/>
      <w:pPr>
        <w:ind w:left="283" w:hanging="360"/>
      </w:pPr>
      <w:rPr>
        <w:rFonts w:ascii="Calibri" w:eastAsia="Calibri" w:hAnsi="Calibri" w:cs="Calibri"/>
        <w:b w:val="0"/>
        <w:i w:val="0"/>
        <w:sz w:val="26"/>
        <w:szCs w:val="26"/>
      </w:rPr>
    </w:lvl>
    <w:lvl w:ilvl="1">
      <w:start w:val="1"/>
      <w:numFmt w:val="upperLetter"/>
      <w:lvlText w:val="%2."/>
      <w:lvlJc w:val="left"/>
      <w:pPr>
        <w:ind w:left="566" w:hanging="359"/>
      </w:pPr>
    </w:lvl>
    <w:lvl w:ilvl="2">
      <w:start w:val="1"/>
      <w:numFmt w:val="lowerRoman"/>
      <w:lvlText w:val="%3."/>
      <w:lvlJc w:val="right"/>
      <w:pPr>
        <w:ind w:left="850" w:hanging="28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3"/>
  </w:num>
  <w:num w:numId="3">
    <w:abstractNumId w:val="5"/>
  </w:num>
  <w:num w:numId="4">
    <w:abstractNumId w:val="0"/>
  </w:num>
  <w:num w:numId="5">
    <w:abstractNumId w:val="4"/>
  </w:num>
  <w:num w:numId="6">
    <w:abstractNumId w:val="7"/>
  </w:num>
  <w:num w:numId="7">
    <w:abstractNumId w:val="16"/>
  </w:num>
  <w:num w:numId="8">
    <w:abstractNumId w:val="8"/>
  </w:num>
  <w:num w:numId="9">
    <w:abstractNumId w:val="2"/>
  </w:num>
  <w:num w:numId="10">
    <w:abstractNumId w:val="13"/>
  </w:num>
  <w:num w:numId="11">
    <w:abstractNumId w:val="11"/>
  </w:num>
  <w:num w:numId="12">
    <w:abstractNumId w:val="6"/>
  </w:num>
  <w:num w:numId="13">
    <w:abstractNumId w:val="14"/>
  </w:num>
  <w:num w:numId="14">
    <w:abstractNumId w:val="17"/>
  </w:num>
  <w:num w:numId="15">
    <w:abstractNumId w:val="1"/>
  </w:num>
  <w:num w:numId="16">
    <w:abstractNumId w:val="12"/>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F6"/>
    <w:rsid w:val="000047DD"/>
    <w:rsid w:val="000126F4"/>
    <w:rsid w:val="000D7FB5"/>
    <w:rsid w:val="00125FE2"/>
    <w:rsid w:val="00175272"/>
    <w:rsid w:val="00183143"/>
    <w:rsid w:val="00187CBD"/>
    <w:rsid w:val="001955AC"/>
    <w:rsid w:val="001B2606"/>
    <w:rsid w:val="001B5333"/>
    <w:rsid w:val="001C0517"/>
    <w:rsid w:val="003467F6"/>
    <w:rsid w:val="003D2818"/>
    <w:rsid w:val="00450F11"/>
    <w:rsid w:val="004F4135"/>
    <w:rsid w:val="005B1202"/>
    <w:rsid w:val="006863D3"/>
    <w:rsid w:val="00775ABA"/>
    <w:rsid w:val="007A5461"/>
    <w:rsid w:val="007E08BC"/>
    <w:rsid w:val="00927C93"/>
    <w:rsid w:val="009669F9"/>
    <w:rsid w:val="00A27B29"/>
    <w:rsid w:val="00AB0302"/>
    <w:rsid w:val="00B71F43"/>
    <w:rsid w:val="00BB7186"/>
    <w:rsid w:val="00BD249A"/>
    <w:rsid w:val="00C61E14"/>
    <w:rsid w:val="00D86C26"/>
    <w:rsid w:val="00DC7668"/>
    <w:rsid w:val="00DE62C8"/>
    <w:rsid w:val="00E13EF0"/>
    <w:rsid w:val="00E63A33"/>
    <w:rsid w:val="00E91C85"/>
    <w:rsid w:val="00F4309E"/>
    <w:rsid w:val="00F82C2F"/>
    <w:rsid w:val="00F912BD"/>
    <w:rsid w:val="00FB7629"/>
    <w:rsid w:val="00FE4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325A"/>
  <w15:docId w15:val="{3CA26DE4-694A-4640-AED5-BEFE4F17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6"/>
        <w:szCs w:val="26"/>
        <w:lang w:val="pl-PL" w:eastAsia="pl-PL" w:bidi="ar-SA"/>
      </w:rPr>
    </w:rPrDefault>
    <w:pPrDefault>
      <w:pPr>
        <w:spacing w:before="100" w:after="240" w:line="312" w:lineRule="auto"/>
        <w:ind w:left="-21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218B"/>
  </w:style>
  <w:style w:type="paragraph" w:styleId="Nagwek1">
    <w:name w:val="heading 1"/>
    <w:basedOn w:val="Normalny"/>
    <w:next w:val="Normalny"/>
    <w:link w:val="Nagwek1Znak"/>
    <w:uiPriority w:val="9"/>
    <w:qFormat/>
    <w:rsid w:val="00971009"/>
    <w:pPr>
      <w:pBdr>
        <w:top w:val="single" w:sz="24" w:space="0" w:color="D0CECE" w:themeColor="accent1"/>
        <w:left w:val="single" w:sz="24" w:space="0" w:color="D0CECE" w:themeColor="accent1"/>
        <w:bottom w:val="single" w:sz="24" w:space="0" w:color="D0CECE" w:themeColor="accent1"/>
        <w:right w:val="single" w:sz="24" w:space="0" w:color="D0CECE" w:themeColor="accent1"/>
      </w:pBdr>
      <w:shd w:val="clear" w:color="auto" w:fill="D0CECE"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971009"/>
    <w:pPr>
      <w:pBdr>
        <w:top w:val="single" w:sz="24" w:space="0" w:color="F5F5F5" w:themeColor="accent1" w:themeTint="33"/>
        <w:left w:val="single" w:sz="24" w:space="0" w:color="F5F5F5" w:themeColor="accent1" w:themeTint="33"/>
        <w:bottom w:val="single" w:sz="24" w:space="0" w:color="F5F5F5" w:themeColor="accent1" w:themeTint="33"/>
        <w:right w:val="single" w:sz="24" w:space="0" w:color="F5F5F5" w:themeColor="accent1" w:themeTint="33"/>
      </w:pBdr>
      <w:shd w:val="clear" w:color="auto" w:fill="F5F5F5"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971009"/>
    <w:pPr>
      <w:pBdr>
        <w:top w:val="single" w:sz="6" w:space="2" w:color="D0CECE" w:themeColor="accent1"/>
      </w:pBdr>
      <w:spacing w:before="300" w:after="0"/>
      <w:outlineLvl w:val="2"/>
    </w:pPr>
    <w:rPr>
      <w:caps/>
      <w:color w:val="696565" w:themeColor="accent1" w:themeShade="7F"/>
      <w:spacing w:val="15"/>
    </w:rPr>
  </w:style>
  <w:style w:type="paragraph" w:styleId="Nagwek4">
    <w:name w:val="heading 4"/>
    <w:basedOn w:val="Normalny"/>
    <w:next w:val="Normalny"/>
    <w:link w:val="Nagwek4Znak"/>
    <w:uiPriority w:val="9"/>
    <w:semiHidden/>
    <w:unhideWhenUsed/>
    <w:qFormat/>
    <w:rsid w:val="00971009"/>
    <w:pPr>
      <w:pBdr>
        <w:top w:val="dotted" w:sz="6" w:space="2" w:color="D0CECE" w:themeColor="accent1"/>
      </w:pBdr>
      <w:spacing w:before="200" w:after="0"/>
      <w:outlineLvl w:val="3"/>
    </w:pPr>
    <w:rPr>
      <w:caps/>
      <w:color w:val="9D9898" w:themeColor="accent1" w:themeShade="BF"/>
      <w:spacing w:val="10"/>
    </w:rPr>
  </w:style>
  <w:style w:type="paragraph" w:styleId="Nagwek5">
    <w:name w:val="heading 5"/>
    <w:basedOn w:val="Normalny"/>
    <w:next w:val="Normalny"/>
    <w:link w:val="Nagwek5Znak"/>
    <w:uiPriority w:val="9"/>
    <w:semiHidden/>
    <w:unhideWhenUsed/>
    <w:qFormat/>
    <w:rsid w:val="00971009"/>
    <w:pPr>
      <w:pBdr>
        <w:bottom w:val="single" w:sz="6" w:space="1" w:color="D0CECE" w:themeColor="accent1"/>
      </w:pBdr>
      <w:spacing w:before="200" w:after="0"/>
      <w:outlineLvl w:val="4"/>
    </w:pPr>
    <w:rPr>
      <w:caps/>
      <w:color w:val="9D9898" w:themeColor="accent1" w:themeShade="BF"/>
      <w:spacing w:val="10"/>
    </w:rPr>
  </w:style>
  <w:style w:type="paragraph" w:styleId="Nagwek6">
    <w:name w:val="heading 6"/>
    <w:basedOn w:val="Normalny"/>
    <w:next w:val="Normalny"/>
    <w:link w:val="Nagwek6Znak"/>
    <w:uiPriority w:val="9"/>
    <w:semiHidden/>
    <w:unhideWhenUsed/>
    <w:qFormat/>
    <w:rsid w:val="00971009"/>
    <w:pPr>
      <w:pBdr>
        <w:bottom w:val="dotted" w:sz="6" w:space="1" w:color="D0CECE" w:themeColor="accent1"/>
      </w:pBdr>
      <w:spacing w:before="200" w:after="0"/>
      <w:outlineLvl w:val="5"/>
    </w:pPr>
    <w:rPr>
      <w:caps/>
      <w:color w:val="9D9898" w:themeColor="accent1" w:themeShade="BF"/>
      <w:spacing w:val="10"/>
    </w:rPr>
  </w:style>
  <w:style w:type="paragraph" w:styleId="Nagwek7">
    <w:name w:val="heading 7"/>
    <w:basedOn w:val="Normalny"/>
    <w:next w:val="Normalny"/>
    <w:link w:val="Nagwek7Znak"/>
    <w:uiPriority w:val="9"/>
    <w:semiHidden/>
    <w:unhideWhenUsed/>
    <w:qFormat/>
    <w:rsid w:val="00971009"/>
    <w:pPr>
      <w:spacing w:before="200" w:after="0"/>
      <w:outlineLvl w:val="6"/>
    </w:pPr>
    <w:rPr>
      <w:caps/>
      <w:color w:val="9D9898" w:themeColor="accent1" w:themeShade="BF"/>
      <w:spacing w:val="10"/>
    </w:rPr>
  </w:style>
  <w:style w:type="paragraph" w:styleId="Nagwek8">
    <w:name w:val="heading 8"/>
    <w:basedOn w:val="Normalny"/>
    <w:next w:val="Normalny"/>
    <w:link w:val="Nagwek8Znak"/>
    <w:uiPriority w:val="9"/>
    <w:semiHidden/>
    <w:unhideWhenUsed/>
    <w:qFormat/>
    <w:rsid w:val="00971009"/>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971009"/>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971009"/>
    <w:pPr>
      <w:spacing w:before="0" w:after="0"/>
    </w:pPr>
    <w:rPr>
      <w:rFonts w:asciiTheme="majorHAnsi" w:eastAsiaTheme="majorEastAsia" w:hAnsiTheme="majorHAnsi" w:cstheme="majorBidi"/>
      <w:caps/>
      <w:color w:val="D0CECE" w:themeColor="accent1"/>
      <w:spacing w:val="10"/>
      <w:sz w:val="52"/>
      <w:szCs w:val="52"/>
    </w:rPr>
  </w:style>
  <w:style w:type="character" w:customStyle="1" w:styleId="czeinternetowe">
    <w:name w:val="Łącze internetowe"/>
    <w:basedOn w:val="Domylnaczcionkaakapitu"/>
    <w:uiPriority w:val="99"/>
    <w:unhideWhenUsed/>
    <w:rsid w:val="00BE100B"/>
    <w:rPr>
      <w:color w:val="0563C1" w:themeColor="hyperlink"/>
      <w:u w:val="single"/>
    </w:rPr>
  </w:style>
  <w:style w:type="character" w:styleId="Pogrubienie">
    <w:name w:val="Strong"/>
    <w:uiPriority w:val="22"/>
    <w:qFormat/>
    <w:rsid w:val="00971009"/>
    <w:rPr>
      <w:b/>
      <w:bCs/>
    </w:rPr>
  </w:style>
  <w:style w:type="character" w:customStyle="1" w:styleId="Nagwek1Znak">
    <w:name w:val="Nagłówek 1 Znak"/>
    <w:basedOn w:val="Domylnaczcionkaakapitu"/>
    <w:link w:val="Nagwek1"/>
    <w:uiPriority w:val="9"/>
    <w:rsid w:val="00971009"/>
    <w:rPr>
      <w:caps/>
      <w:color w:val="FFFFFF" w:themeColor="background1"/>
      <w:spacing w:val="15"/>
      <w:sz w:val="22"/>
      <w:szCs w:val="22"/>
      <w:shd w:val="clear" w:color="auto" w:fill="D0CECE" w:themeFill="accent1"/>
    </w:rPr>
  </w:style>
  <w:style w:type="character" w:customStyle="1" w:styleId="NagwekZnak">
    <w:name w:val="Nagłówek Znak"/>
    <w:basedOn w:val="Domylnaczcionkaakapitu"/>
    <w:link w:val="Nagwek"/>
    <w:uiPriority w:val="99"/>
    <w:qFormat/>
    <w:rsid w:val="00271BEC"/>
  </w:style>
  <w:style w:type="character" w:customStyle="1" w:styleId="StopkaZnak">
    <w:name w:val="Stopka Znak"/>
    <w:basedOn w:val="Domylnaczcionkaakapitu"/>
    <w:link w:val="Stopka"/>
    <w:uiPriority w:val="99"/>
    <w:qFormat/>
    <w:rsid w:val="00271BEC"/>
  </w:style>
  <w:style w:type="character" w:customStyle="1" w:styleId="TekstdymkaZnak">
    <w:name w:val="Tekst dymka Znak"/>
    <w:basedOn w:val="Domylnaczcionkaakapitu"/>
    <w:link w:val="Tekstdymka"/>
    <w:uiPriority w:val="99"/>
    <w:semiHidden/>
    <w:rsid w:val="00AB1273"/>
    <w:rPr>
      <w:rFonts w:ascii="Segoe UI" w:hAnsi="Segoe UI" w:cs="Segoe UI"/>
      <w:sz w:val="18"/>
      <w:szCs w:val="18"/>
    </w:rPr>
  </w:style>
  <w:style w:type="character" w:customStyle="1" w:styleId="Nagwek2Znak">
    <w:name w:val="Nagłówek 2 Znak"/>
    <w:basedOn w:val="Domylnaczcionkaakapitu"/>
    <w:link w:val="Nagwek2"/>
    <w:uiPriority w:val="9"/>
    <w:rsid w:val="00971009"/>
    <w:rPr>
      <w:caps/>
      <w:spacing w:val="15"/>
      <w:shd w:val="clear" w:color="auto" w:fill="F5F5F5" w:themeFill="accent1" w:themeFillTint="33"/>
    </w:rPr>
  </w:style>
  <w:style w:type="character" w:customStyle="1" w:styleId="Nagwek3Znak">
    <w:name w:val="Nagłówek 3 Znak"/>
    <w:basedOn w:val="Domylnaczcionkaakapitu"/>
    <w:link w:val="Nagwek3"/>
    <w:uiPriority w:val="9"/>
    <w:rsid w:val="00971009"/>
    <w:rPr>
      <w:caps/>
      <w:color w:val="696565" w:themeColor="accent1" w:themeShade="7F"/>
      <w:spacing w:val="15"/>
    </w:rPr>
  </w:style>
  <w:style w:type="character" w:customStyle="1" w:styleId="Nagwek4Znak">
    <w:name w:val="Nagłówek 4 Znak"/>
    <w:basedOn w:val="Domylnaczcionkaakapitu"/>
    <w:link w:val="Nagwek4"/>
    <w:uiPriority w:val="9"/>
    <w:rsid w:val="00971009"/>
    <w:rPr>
      <w:caps/>
      <w:color w:val="9D9898" w:themeColor="accent1" w:themeShade="BF"/>
      <w:spacing w:val="10"/>
    </w:rPr>
  </w:style>
  <w:style w:type="character" w:customStyle="1" w:styleId="Nagwek5Znak">
    <w:name w:val="Nagłówek 5 Znak"/>
    <w:basedOn w:val="Domylnaczcionkaakapitu"/>
    <w:link w:val="Nagwek5"/>
    <w:uiPriority w:val="9"/>
    <w:semiHidden/>
    <w:rsid w:val="00971009"/>
    <w:rPr>
      <w:caps/>
      <w:color w:val="9D9898" w:themeColor="accent1" w:themeShade="BF"/>
      <w:spacing w:val="10"/>
    </w:rPr>
  </w:style>
  <w:style w:type="character" w:customStyle="1" w:styleId="Nagwek6Znak">
    <w:name w:val="Nagłówek 6 Znak"/>
    <w:basedOn w:val="Domylnaczcionkaakapitu"/>
    <w:link w:val="Nagwek6"/>
    <w:uiPriority w:val="9"/>
    <w:semiHidden/>
    <w:rsid w:val="00971009"/>
    <w:rPr>
      <w:caps/>
      <w:color w:val="9D9898" w:themeColor="accent1" w:themeShade="BF"/>
      <w:spacing w:val="10"/>
    </w:rPr>
  </w:style>
  <w:style w:type="character" w:customStyle="1" w:styleId="Nagwek7Znak">
    <w:name w:val="Nagłówek 7 Znak"/>
    <w:basedOn w:val="Domylnaczcionkaakapitu"/>
    <w:link w:val="Nagwek7"/>
    <w:uiPriority w:val="9"/>
    <w:semiHidden/>
    <w:rsid w:val="00971009"/>
    <w:rPr>
      <w:caps/>
      <w:color w:val="9D9898" w:themeColor="accent1" w:themeShade="BF"/>
      <w:spacing w:val="10"/>
    </w:rPr>
  </w:style>
  <w:style w:type="character" w:customStyle="1" w:styleId="Nagwek8Znak">
    <w:name w:val="Nagłówek 8 Znak"/>
    <w:basedOn w:val="Domylnaczcionkaakapitu"/>
    <w:link w:val="Nagwek8"/>
    <w:uiPriority w:val="9"/>
    <w:semiHidden/>
    <w:rsid w:val="00971009"/>
    <w:rPr>
      <w:caps/>
      <w:spacing w:val="10"/>
      <w:sz w:val="18"/>
      <w:szCs w:val="18"/>
    </w:rPr>
  </w:style>
  <w:style w:type="character" w:customStyle="1" w:styleId="Nagwek9Znak">
    <w:name w:val="Nagłówek 9 Znak"/>
    <w:basedOn w:val="Domylnaczcionkaakapitu"/>
    <w:link w:val="Nagwek9"/>
    <w:uiPriority w:val="9"/>
    <w:semiHidden/>
    <w:rsid w:val="00971009"/>
    <w:rPr>
      <w:i/>
      <w:iCs/>
      <w:caps/>
      <w:spacing w:val="10"/>
      <w:sz w:val="18"/>
      <w:szCs w:val="18"/>
    </w:rPr>
  </w:style>
  <w:style w:type="character" w:customStyle="1" w:styleId="TytuZnak">
    <w:name w:val="Tytuł Znak"/>
    <w:basedOn w:val="Domylnaczcionkaakapitu"/>
    <w:link w:val="Tytu"/>
    <w:uiPriority w:val="10"/>
    <w:rsid w:val="00971009"/>
    <w:rPr>
      <w:rFonts w:asciiTheme="majorHAnsi" w:eastAsiaTheme="majorEastAsia" w:hAnsiTheme="majorHAnsi" w:cstheme="majorBidi"/>
      <w:caps/>
      <w:color w:val="D0CECE" w:themeColor="accent1"/>
      <w:spacing w:val="10"/>
      <w:sz w:val="52"/>
      <w:szCs w:val="52"/>
    </w:rPr>
  </w:style>
  <w:style w:type="character" w:customStyle="1" w:styleId="PodtytuZnak">
    <w:name w:val="Podtytuł Znak"/>
    <w:basedOn w:val="Domylnaczcionkaakapitu"/>
    <w:link w:val="Podtytu"/>
    <w:uiPriority w:val="11"/>
    <w:rsid w:val="00971009"/>
    <w:rPr>
      <w:caps/>
      <w:color w:val="595959" w:themeColor="text1" w:themeTint="A6"/>
      <w:spacing w:val="10"/>
      <w:sz w:val="21"/>
      <w:szCs w:val="21"/>
    </w:rPr>
  </w:style>
  <w:style w:type="character" w:customStyle="1" w:styleId="Wyrnienie">
    <w:name w:val="Wyróżnienie"/>
    <w:uiPriority w:val="20"/>
    <w:rsid w:val="0076708B"/>
    <w:rPr>
      <w:caps/>
      <w:color w:val="696565" w:themeColor="accent1" w:themeShade="7F"/>
      <w:spacing w:val="5"/>
    </w:rPr>
  </w:style>
  <w:style w:type="character" w:customStyle="1" w:styleId="CytatZnak">
    <w:name w:val="Cytat Znak"/>
    <w:basedOn w:val="Domylnaczcionkaakapitu"/>
    <w:link w:val="Cytat"/>
    <w:uiPriority w:val="29"/>
    <w:rsid w:val="00971009"/>
    <w:rPr>
      <w:i/>
      <w:iCs/>
      <w:sz w:val="24"/>
      <w:szCs w:val="24"/>
    </w:rPr>
  </w:style>
  <w:style w:type="character" w:customStyle="1" w:styleId="CytatintensywnyZnak">
    <w:name w:val="Cytat intensywny Znak"/>
    <w:basedOn w:val="Domylnaczcionkaakapitu"/>
    <w:link w:val="Cytatintensywny"/>
    <w:uiPriority w:val="30"/>
    <w:rsid w:val="00971009"/>
    <w:rPr>
      <w:color w:val="D0CECE" w:themeColor="accent1"/>
      <w:sz w:val="24"/>
      <w:szCs w:val="24"/>
    </w:rPr>
  </w:style>
  <w:style w:type="character" w:styleId="Wyrnieniedelikatne">
    <w:name w:val="Subtle Emphasis"/>
    <w:uiPriority w:val="19"/>
    <w:qFormat/>
    <w:rsid w:val="00971009"/>
    <w:rPr>
      <w:i/>
      <w:iCs/>
      <w:color w:val="696565" w:themeColor="accent1" w:themeShade="7F"/>
    </w:rPr>
  </w:style>
  <w:style w:type="character" w:styleId="Wyrnienieintensywne">
    <w:name w:val="Intense Emphasis"/>
    <w:uiPriority w:val="21"/>
    <w:qFormat/>
    <w:rsid w:val="00971009"/>
    <w:rPr>
      <w:b/>
      <w:bCs/>
      <w:caps/>
      <w:color w:val="696565" w:themeColor="accent1" w:themeShade="7F"/>
      <w:spacing w:val="10"/>
    </w:rPr>
  </w:style>
  <w:style w:type="character" w:styleId="Odwoaniedelikatne">
    <w:name w:val="Subtle Reference"/>
    <w:uiPriority w:val="31"/>
    <w:qFormat/>
    <w:rsid w:val="00971009"/>
    <w:rPr>
      <w:b/>
      <w:bCs/>
      <w:color w:val="D0CECE" w:themeColor="accent1"/>
    </w:rPr>
  </w:style>
  <w:style w:type="character" w:styleId="Odwoanieintensywne">
    <w:name w:val="Intense Reference"/>
    <w:uiPriority w:val="32"/>
    <w:qFormat/>
    <w:rsid w:val="00971009"/>
    <w:rPr>
      <w:b/>
      <w:bCs/>
      <w:i/>
      <w:iCs/>
      <w:caps/>
      <w:color w:val="D0CECE" w:themeColor="accent1"/>
    </w:rPr>
  </w:style>
  <w:style w:type="character" w:styleId="Tytuksiki">
    <w:name w:val="Book Title"/>
    <w:uiPriority w:val="33"/>
    <w:qFormat/>
    <w:rsid w:val="00971009"/>
    <w:rPr>
      <w:b/>
      <w:bCs/>
      <w:i/>
      <w:iCs/>
      <w:spacing w:val="0"/>
    </w:rPr>
  </w:style>
  <w:style w:type="character" w:customStyle="1" w:styleId="TekstpodstawowyZnak">
    <w:name w:val="Tekst podstawowy Znak"/>
    <w:basedOn w:val="Domylnaczcionkaakapitu"/>
    <w:link w:val="Tekstpodstawowy"/>
    <w:uiPriority w:val="99"/>
    <w:qFormat/>
    <w:rsid w:val="004A2803"/>
    <w:rPr>
      <w:rFonts w:ascii="Times New Roman" w:eastAsia="Times New Roman" w:hAnsi="Times New Roman" w:cs="Times New Roman"/>
      <w:b/>
      <w:i/>
      <w:sz w:val="24"/>
      <w:lang w:val="x-none" w:eastAsia="x-none"/>
    </w:rPr>
  </w:style>
  <w:style w:type="character" w:customStyle="1" w:styleId="TekstprzypisudolnegoZnak">
    <w:name w:val="Tekst przypisu dolnego Znak"/>
    <w:basedOn w:val="Domylnaczcionkaakapitu"/>
    <w:link w:val="Tekstprzypisudolnego"/>
    <w:uiPriority w:val="99"/>
    <w:rsid w:val="00241BBC"/>
  </w:style>
  <w:style w:type="character" w:styleId="Odwoanieprzypisudolnego">
    <w:name w:val="footnote reference"/>
    <w:basedOn w:val="Domylnaczcionkaakapitu"/>
    <w:uiPriority w:val="99"/>
    <w:semiHidden/>
    <w:unhideWhenUsed/>
    <w:rsid w:val="00241BBC"/>
    <w:rPr>
      <w:vertAlign w:val="superscript"/>
    </w:rPr>
  </w:style>
  <w:style w:type="character" w:customStyle="1" w:styleId="ListLabel1">
    <w:name w:val="ListLabel 1"/>
    <w:rPr>
      <w:color w:val="00000A"/>
    </w:rPr>
  </w:style>
  <w:style w:type="character" w:customStyle="1" w:styleId="ListLabel2">
    <w:name w:val="ListLabel 2"/>
    <w:rPr>
      <w:rFonts w:cs="Times New Roman"/>
      <w:b/>
      <w:color w:val="00000A"/>
    </w:rPr>
  </w:style>
  <w:style w:type="character" w:customStyle="1" w:styleId="ListLabel3">
    <w:name w:val="ListLabel 3"/>
    <w:rPr>
      <w:rFonts w:ascii="Cambria" w:eastAsia="Times New Roman" w:hAnsi="Cambria" w:cs="Times New Roman"/>
      <w:b w:val="0"/>
      <w:sz w:val="22"/>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eastAsia="Times New Roman"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eastAsia="Times New Roman" w:cs="Times New Roman"/>
      <w:sz w:val="22"/>
      <w:szCs w:val="22"/>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u w:val="none"/>
    </w:rPr>
  </w:style>
  <w:style w:type="character" w:customStyle="1" w:styleId="ListLabel37">
    <w:name w:val="ListLabel 37"/>
    <w:rPr>
      <w:rFonts w:ascii="Cambria" w:eastAsia="Calibri" w:hAnsi="Cambria" w:cs="Times New Roman"/>
      <w:sz w:val="22"/>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Cambria" w:eastAsia="Calibri" w:hAnsi="Cambria"/>
      <w:sz w:val="22"/>
    </w:rPr>
  </w:style>
  <w:style w:type="character" w:customStyle="1" w:styleId="ListLabel47">
    <w:name w:val="ListLabel 47"/>
    <w:rPr>
      <w:rFonts w:cs="Times New Roman"/>
      <w:b w:val="0"/>
      <w:i w:val="0"/>
      <w:sz w:val="24"/>
      <w:szCs w:val="24"/>
    </w:rPr>
  </w:style>
  <w:style w:type="character" w:customStyle="1" w:styleId="ListLabel48">
    <w:name w:val="ListLabel 48"/>
    <w:rPr>
      <w:rFonts w:cs="Times New Roman"/>
    </w:rPr>
  </w:style>
  <w:style w:type="character" w:customStyle="1" w:styleId="ListLabel49">
    <w:name w:val="ListLabel 49"/>
    <w:rPr>
      <w:rFonts w:eastAsia="Times New Roman" w:cs="Times New Roman"/>
    </w:rPr>
  </w:style>
  <w:style w:type="character" w:customStyle="1" w:styleId="ListLabel50">
    <w:name w:val="ListLabel 50"/>
    <w:rPr>
      <w:rFonts w:cs="Times New Roman"/>
    </w:rPr>
  </w:style>
  <w:style w:type="character" w:customStyle="1" w:styleId="ListLabel51">
    <w:name w:val="ListLabel 51"/>
    <w:rPr>
      <w:sz w:val="24"/>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sz w:val="22"/>
    </w:rPr>
  </w:style>
  <w:style w:type="character" w:customStyle="1" w:styleId="ListLabel57">
    <w:name w:val="ListLabel 57"/>
    <w:rPr>
      <w:rFonts w:cs="Times New Roman"/>
      <w:b w:val="0"/>
      <w:i w:val="0"/>
      <w:sz w:val="24"/>
      <w:szCs w:val="24"/>
    </w:rPr>
  </w:style>
  <w:style w:type="character" w:customStyle="1" w:styleId="ListLabel58">
    <w:name w:val="ListLabel 58"/>
    <w:rPr>
      <w:rFonts w:cs="Times New Roman"/>
    </w:rPr>
  </w:style>
  <w:style w:type="character" w:customStyle="1" w:styleId="ListLabel59">
    <w:name w:val="ListLabel 59"/>
    <w:rPr>
      <w:rFonts w:eastAsia="Times New Roman" w:cs="Times New Roman"/>
    </w:rPr>
  </w:style>
  <w:style w:type="character" w:customStyle="1" w:styleId="ListLabel60">
    <w:name w:val="ListLabel 60"/>
    <w:rPr>
      <w:rFonts w:cs="Times New Roman"/>
    </w:rPr>
  </w:style>
  <w:style w:type="character" w:customStyle="1" w:styleId="ListLabel61">
    <w:name w:val="ListLabel 61"/>
    <w:rPr>
      <w:rFonts w:ascii="Cambria" w:hAnsi="Cambria"/>
      <w:sz w:val="22"/>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b/>
      <w:color w:val="00000A"/>
    </w:rPr>
  </w:style>
  <w:style w:type="character" w:customStyle="1" w:styleId="Zakotwiczenieprzypisudolnego">
    <w:name w:val="Zakotwiczenie przypisu dolnego"/>
    <w:rPr>
      <w:vertAlign w:val="superscript"/>
    </w:rPr>
  </w:style>
  <w:style w:type="character" w:customStyle="1" w:styleId="Znakiprzypiswdolnych">
    <w:name w:val="Znaki przypisów dolnych"/>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character" w:styleId="Odwoaniedokomentarza">
    <w:name w:val="annotation reference"/>
    <w:basedOn w:val="Domylnaczcionkaakapitu"/>
    <w:uiPriority w:val="99"/>
    <w:semiHidden/>
    <w:unhideWhenUsed/>
    <w:qFormat/>
    <w:rsid w:val="00874619"/>
    <w:rPr>
      <w:sz w:val="16"/>
      <w:szCs w:val="16"/>
    </w:rPr>
  </w:style>
  <w:style w:type="character" w:customStyle="1" w:styleId="TekstkomentarzaZnak">
    <w:name w:val="Tekst komentarza Znak"/>
    <w:basedOn w:val="Domylnaczcionkaakapitu"/>
    <w:link w:val="Tekstkomentarza"/>
    <w:uiPriority w:val="99"/>
    <w:qFormat/>
    <w:rsid w:val="00874619"/>
  </w:style>
  <w:style w:type="character" w:customStyle="1" w:styleId="TematkomentarzaZnak">
    <w:name w:val="Temat komentarza Znak"/>
    <w:basedOn w:val="TekstkomentarzaZnak"/>
    <w:link w:val="Tematkomentarza"/>
    <w:uiPriority w:val="99"/>
    <w:semiHidden/>
    <w:rsid w:val="00874619"/>
    <w:rPr>
      <w:b/>
      <w:bCs/>
    </w:rPr>
  </w:style>
  <w:style w:type="character" w:customStyle="1" w:styleId="ListLabel67">
    <w:name w:val="ListLabel 67"/>
    <w:rPr>
      <w:rFonts w:ascii="Times New Roman" w:hAnsi="Times New Roman"/>
      <w:b/>
      <w:i w:val="0"/>
      <w:sz w:val="24"/>
      <w:szCs w:val="22"/>
    </w:rPr>
  </w:style>
  <w:style w:type="character" w:customStyle="1" w:styleId="ListLabel68">
    <w:name w:val="ListLabel 68"/>
    <w:rPr>
      <w:rFonts w:cs="Times New Roman"/>
      <w:b/>
      <w:color w:val="00000A"/>
    </w:rPr>
  </w:style>
  <w:style w:type="character" w:customStyle="1" w:styleId="ListLabel69">
    <w:name w:val="ListLabel 69"/>
    <w:rPr>
      <w:rFonts w:eastAsia="Times New Roman" w:cs="Times New Roman"/>
      <w:b w:val="0"/>
      <w:sz w:val="22"/>
    </w:rPr>
  </w:style>
  <w:style w:type="character" w:customStyle="1" w:styleId="ListLabel70">
    <w:name w:val="ListLabel 70"/>
    <w:rPr>
      <w:rFonts w:ascii="Cambria" w:hAnsi="Cambria"/>
      <w:i w:val="0"/>
      <w:sz w:val="22"/>
      <w:szCs w:val="22"/>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ascii="Cambria" w:hAnsi="Cambria"/>
      <w:b w:val="0"/>
      <w:i w:val="0"/>
      <w:sz w:val="22"/>
      <w:szCs w:val="22"/>
    </w:rPr>
  </w:style>
  <w:style w:type="character" w:customStyle="1" w:styleId="ListLabel77">
    <w:name w:val="ListLabel 77"/>
    <w:rPr>
      <w:rFonts w:ascii="Cambria" w:eastAsia="Calibri" w:hAnsi="Cambria" w:cs="Times New Roman"/>
      <w:sz w:val="22"/>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eastAsia="Calibri"/>
      <w:sz w:val="22"/>
    </w:rPr>
  </w:style>
  <w:style w:type="character" w:customStyle="1" w:styleId="ListLabel87">
    <w:name w:val="ListLabel 87"/>
    <w:rPr>
      <w:rFonts w:cs="Times New Roman"/>
      <w:b w:val="0"/>
      <w:i w:val="0"/>
      <w:sz w:val="24"/>
      <w:szCs w:val="24"/>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sz w:val="22"/>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eastAsia="Calibri"/>
      <w:sz w:val="22"/>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Times New Roman"/>
      <w:b w:val="0"/>
      <w:i w:val="0"/>
      <w:sz w:val="24"/>
      <w:szCs w:val="24"/>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ascii="Cambria" w:hAnsi="Cambria"/>
      <w:sz w:val="22"/>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Times New Roman"/>
      <w:b w:val="0"/>
      <w:i w:val="0"/>
      <w:sz w:val="24"/>
      <w:szCs w:val="24"/>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ascii="Cambria" w:hAnsi="Cambria"/>
      <w:sz w:val="22"/>
      <w:szCs w:val="22"/>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val="0"/>
      <w:i w:val="0"/>
      <w:sz w:val="24"/>
      <w:szCs w:val="24"/>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ascii="Cambria" w:hAnsi="Cambria"/>
      <w:sz w:val="22"/>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b w:val="0"/>
      <w:i w:val="0"/>
      <w:sz w:val="24"/>
      <w:szCs w:val="24"/>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ascii="Cambria" w:hAnsi="Cambria"/>
      <w:sz w:val="22"/>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b w:val="0"/>
      <w:i w:val="0"/>
      <w:sz w:val="24"/>
      <w:szCs w:val="24"/>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ascii="Cambria" w:hAnsi="Cambria"/>
      <w:sz w:val="22"/>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cs="Times New Roman"/>
      <w:b/>
      <w:color w:val="00000A"/>
    </w:rPr>
  </w:style>
  <w:style w:type="character" w:customStyle="1" w:styleId="ListLabel146">
    <w:name w:val="ListLabel 146"/>
    <w:rPr>
      <w:rFonts w:eastAsia="Times New Roman" w:cs="Times New Roman"/>
      <w:b w:val="0"/>
      <w:sz w:val="22"/>
    </w:rPr>
  </w:style>
  <w:style w:type="character" w:customStyle="1" w:styleId="ListLabel147">
    <w:name w:val="ListLabel 147"/>
    <w:rPr>
      <w:rFonts w:ascii="Cambria" w:hAnsi="Cambria"/>
      <w:b/>
      <w:i w:val="0"/>
      <w:sz w:val="22"/>
      <w:szCs w:val="22"/>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b w:val="0"/>
      <w:i w:val="0"/>
      <w:sz w:val="24"/>
      <w:szCs w:val="24"/>
    </w:rPr>
  </w:style>
  <w:style w:type="character" w:customStyle="1" w:styleId="ListLabel154">
    <w:name w:val="ListLabel 154"/>
    <w:rPr>
      <w:rFonts w:cs="Times New Roman"/>
    </w:rPr>
  </w:style>
  <w:style w:type="character" w:customStyle="1" w:styleId="ListLabel155">
    <w:name w:val="ListLabel 155"/>
    <w:rPr>
      <w:rFonts w:cs="Times New Roman"/>
    </w:rPr>
  </w:style>
  <w:style w:type="character" w:customStyle="1" w:styleId="ListLabel156">
    <w:name w:val="ListLabel 156"/>
    <w:rPr>
      <w:rFonts w:cs="Times New Roman"/>
    </w:rPr>
  </w:style>
  <w:style w:type="character" w:customStyle="1" w:styleId="ListLabel157">
    <w:name w:val="ListLabel 157"/>
    <w:rPr>
      <w:rFonts w:ascii="Cambria" w:hAnsi="Cambria"/>
      <w:sz w:val="22"/>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eastAsia="Calibri" w:cs="Times New Roman"/>
      <w:sz w:val="22"/>
    </w:rPr>
  </w:style>
  <w:style w:type="character" w:customStyle="1" w:styleId="ListLabel163">
    <w:name w:val="ListLabel 163"/>
    <w:rPr>
      <w:rFonts w:cs="Times New Roman"/>
    </w:rPr>
  </w:style>
  <w:style w:type="character" w:customStyle="1" w:styleId="ListLabel164">
    <w:name w:val="ListLabel 164"/>
    <w:rPr>
      <w:rFonts w:cs="Times New Roman"/>
    </w:rPr>
  </w:style>
  <w:style w:type="character" w:customStyle="1" w:styleId="ListLabel165">
    <w:name w:val="ListLabel 165"/>
    <w:rPr>
      <w:rFonts w:cs="Times New Roman"/>
    </w:rPr>
  </w:style>
  <w:style w:type="character" w:customStyle="1" w:styleId="ListLabel166">
    <w:name w:val="ListLabel 166"/>
    <w:rPr>
      <w:rFonts w:cs="Times New Roman"/>
    </w:rPr>
  </w:style>
  <w:style w:type="character" w:customStyle="1" w:styleId="ListLabel167">
    <w:name w:val="ListLabel 167"/>
    <w:rPr>
      <w:rFonts w:cs="Times New Roman"/>
    </w:rPr>
  </w:style>
  <w:style w:type="character" w:customStyle="1" w:styleId="ListLabel168">
    <w:name w:val="ListLabel 168"/>
    <w:rPr>
      <w:rFonts w:cs="Times New Roman"/>
    </w:rPr>
  </w:style>
  <w:style w:type="character" w:customStyle="1" w:styleId="ListLabel169">
    <w:name w:val="ListLabel 169"/>
    <w:rPr>
      <w:rFonts w:cs="Times New Roman"/>
    </w:rPr>
  </w:style>
  <w:style w:type="character" w:customStyle="1" w:styleId="ListLabel170">
    <w:name w:val="ListLabel 170"/>
    <w:rPr>
      <w:rFonts w:cs="Times New Roman"/>
    </w:rPr>
  </w:style>
  <w:style w:type="character" w:customStyle="1" w:styleId="ListLabel171">
    <w:name w:val="ListLabel 171"/>
    <w:rPr>
      <w:rFonts w:ascii="Cambria" w:eastAsia="Calibri" w:hAnsi="Cambria" w:cs="Times New Roman"/>
      <w:sz w:val="22"/>
    </w:rPr>
  </w:style>
  <w:style w:type="character" w:customStyle="1" w:styleId="ListLabel172">
    <w:name w:val="ListLabel 172"/>
    <w:rPr>
      <w:rFonts w:cs="Times New Roman"/>
    </w:rPr>
  </w:style>
  <w:style w:type="character" w:customStyle="1" w:styleId="ListLabel173">
    <w:name w:val="ListLabel 173"/>
    <w:rPr>
      <w:rFonts w:cs="Times New Roman"/>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b w:val="0"/>
      <w:i w:val="0"/>
      <w:sz w:val="24"/>
      <w:szCs w:val="24"/>
    </w:rPr>
  </w:style>
  <w:style w:type="character" w:customStyle="1" w:styleId="ListLabel181">
    <w:name w:val="ListLabel 181"/>
    <w:rPr>
      <w:rFonts w:cs="Times New Roman"/>
    </w:rPr>
  </w:style>
  <w:style w:type="character" w:customStyle="1" w:styleId="ListLabel182">
    <w:name w:val="ListLabel 182"/>
    <w:rPr>
      <w:rFonts w:cs="Times New Roman"/>
    </w:rPr>
  </w:style>
  <w:style w:type="character" w:customStyle="1" w:styleId="ListLabel183">
    <w:name w:val="ListLabel 183"/>
    <w:rPr>
      <w:rFonts w:cs="Times New Roman"/>
    </w:rPr>
  </w:style>
  <w:style w:type="character" w:customStyle="1" w:styleId="ListLabel184">
    <w:name w:val="ListLabel 184"/>
    <w:rPr>
      <w:rFonts w:ascii="Cambria" w:hAnsi="Cambria"/>
      <w:sz w:val="22"/>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sz w:val="22"/>
    </w:rPr>
  </w:style>
  <w:style w:type="character" w:customStyle="1" w:styleId="ListLabel190">
    <w:name w:val="ListLabel 190"/>
    <w:rPr>
      <w:rFonts w:ascii="Times New Roman" w:hAnsi="Times New Roman"/>
      <w:b/>
      <w:i w:val="0"/>
      <w:sz w:val="24"/>
      <w:szCs w:val="22"/>
    </w:rPr>
  </w:style>
  <w:style w:type="character" w:customStyle="1" w:styleId="ListLabel191">
    <w:name w:val="ListLabel 191"/>
    <w:rPr>
      <w:rFonts w:cs="Times New Roman"/>
      <w:b/>
      <w:color w:val="00000A"/>
    </w:rPr>
  </w:style>
  <w:style w:type="character" w:customStyle="1" w:styleId="ListLabel192">
    <w:name w:val="ListLabel 192"/>
    <w:rPr>
      <w:rFonts w:eastAsia="Times New Roman" w:cs="Times New Roman"/>
      <w:b w:val="0"/>
      <w:sz w:val="22"/>
    </w:rPr>
  </w:style>
  <w:style w:type="character" w:customStyle="1" w:styleId="ListLabel193">
    <w:name w:val="ListLabel 193"/>
    <w:rPr>
      <w:rFonts w:ascii="Cambria" w:hAnsi="Cambria"/>
      <w:i w:val="0"/>
      <w:sz w:val="22"/>
      <w:szCs w:val="22"/>
    </w:rPr>
  </w:style>
  <w:style w:type="character" w:customStyle="1" w:styleId="ListLabel194">
    <w:name w:val="ListLabel 194"/>
    <w:rPr>
      <w:rFonts w:cs="Times New Roman"/>
    </w:rPr>
  </w:style>
  <w:style w:type="character" w:customStyle="1" w:styleId="ListLabel195">
    <w:name w:val="ListLabel 195"/>
    <w:rPr>
      <w:rFonts w:cs="Times New Roman"/>
    </w:rPr>
  </w:style>
  <w:style w:type="character" w:customStyle="1" w:styleId="ListLabel196">
    <w:name w:val="ListLabel 196"/>
    <w:rPr>
      <w:rFonts w:cs="Times New Roman"/>
    </w:rPr>
  </w:style>
  <w:style w:type="character" w:customStyle="1" w:styleId="ListLabel197">
    <w:name w:val="ListLabel 197"/>
    <w:rPr>
      <w:rFonts w:cs="Times New Roman"/>
    </w:rPr>
  </w:style>
  <w:style w:type="character" w:customStyle="1" w:styleId="ListLabel198">
    <w:name w:val="ListLabel 198"/>
    <w:rPr>
      <w:rFonts w:cs="Times New Roman"/>
    </w:rPr>
  </w:style>
  <w:style w:type="character" w:customStyle="1" w:styleId="ListLabel199">
    <w:name w:val="ListLabel 199"/>
    <w:rPr>
      <w:rFonts w:ascii="Cambria" w:hAnsi="Cambria"/>
      <w:b w:val="0"/>
      <w:i w:val="0"/>
      <w:sz w:val="22"/>
      <w:szCs w:val="22"/>
    </w:rPr>
  </w:style>
  <w:style w:type="character" w:customStyle="1" w:styleId="ListLabel200">
    <w:name w:val="ListLabel 200"/>
    <w:rPr>
      <w:rFonts w:ascii="Cambria" w:eastAsia="Calibri" w:hAnsi="Cambria" w:cs="Times New Roman"/>
      <w:sz w:val="22"/>
    </w:rPr>
  </w:style>
  <w:style w:type="character" w:customStyle="1" w:styleId="ListLabel201">
    <w:name w:val="ListLabel 201"/>
    <w:rPr>
      <w:rFonts w:cs="Times New Roman"/>
    </w:rPr>
  </w:style>
  <w:style w:type="character" w:customStyle="1" w:styleId="ListLabel202">
    <w:name w:val="ListLabel 202"/>
    <w:rPr>
      <w:rFonts w:cs="Times New Roman"/>
    </w:rPr>
  </w:style>
  <w:style w:type="character" w:customStyle="1" w:styleId="ListLabel203">
    <w:name w:val="ListLabel 203"/>
    <w:rPr>
      <w:rFonts w:cs="Times New Roman"/>
    </w:rPr>
  </w:style>
  <w:style w:type="character" w:customStyle="1" w:styleId="ListLabel204">
    <w:name w:val="ListLabel 204"/>
    <w:rPr>
      <w:rFonts w:cs="Times New Roman"/>
    </w:rPr>
  </w:style>
  <w:style w:type="character" w:customStyle="1" w:styleId="ListLabel205">
    <w:name w:val="ListLabel 205"/>
    <w:rPr>
      <w:rFonts w:cs="Times New Roman"/>
    </w:rPr>
  </w:style>
  <w:style w:type="character" w:customStyle="1" w:styleId="ListLabel206">
    <w:name w:val="ListLabel 206"/>
    <w:rPr>
      <w:rFonts w:cs="Times New Roman"/>
    </w:rPr>
  </w:style>
  <w:style w:type="character" w:customStyle="1" w:styleId="ListLabel207">
    <w:name w:val="ListLabel 207"/>
    <w:rPr>
      <w:rFonts w:cs="Times New Roman"/>
    </w:rPr>
  </w:style>
  <w:style w:type="character" w:customStyle="1" w:styleId="ListLabel208">
    <w:name w:val="ListLabel 208"/>
    <w:rPr>
      <w:rFonts w:cs="Times New Roman"/>
    </w:rPr>
  </w:style>
  <w:style w:type="character" w:customStyle="1" w:styleId="ListLabel209">
    <w:name w:val="ListLabel 209"/>
    <w:rPr>
      <w:rFonts w:cs="Times New Roman"/>
      <w:b w:val="0"/>
      <w:i w:val="0"/>
      <w:sz w:val="24"/>
      <w:szCs w:val="24"/>
    </w:rPr>
  </w:style>
  <w:style w:type="character" w:customStyle="1" w:styleId="ListLabel210">
    <w:name w:val="ListLabel 210"/>
    <w:rPr>
      <w:rFonts w:cs="Times New Roman"/>
    </w:rPr>
  </w:style>
  <w:style w:type="character" w:customStyle="1" w:styleId="ListLabel211">
    <w:name w:val="ListLabel 211"/>
    <w:rPr>
      <w:rFonts w:cs="Times New Roman"/>
    </w:rPr>
  </w:style>
  <w:style w:type="character" w:customStyle="1" w:styleId="ListLabel212">
    <w:name w:val="ListLabel 212"/>
    <w:rPr>
      <w:rFonts w:cs="Times New Roman"/>
    </w:rPr>
  </w:style>
  <w:style w:type="character" w:customStyle="1" w:styleId="ListLabel213">
    <w:name w:val="ListLabel 213"/>
    <w:rPr>
      <w:rFonts w:ascii="Cambria" w:hAnsi="Cambria"/>
      <w:sz w:val="22"/>
    </w:rPr>
  </w:style>
  <w:style w:type="character" w:customStyle="1" w:styleId="ListLabel214">
    <w:name w:val="ListLabel 214"/>
    <w:rPr>
      <w:rFonts w:cs="Times New Roman"/>
    </w:rPr>
  </w:style>
  <w:style w:type="character" w:customStyle="1" w:styleId="ListLabel215">
    <w:name w:val="ListLabel 215"/>
    <w:rPr>
      <w:rFonts w:cs="Times New Roman"/>
    </w:rPr>
  </w:style>
  <w:style w:type="character" w:customStyle="1" w:styleId="ListLabel216">
    <w:name w:val="ListLabel 216"/>
    <w:rPr>
      <w:rFonts w:cs="Times New Roman"/>
    </w:rPr>
  </w:style>
  <w:style w:type="character" w:customStyle="1" w:styleId="ListLabel217">
    <w:name w:val="ListLabel 217"/>
    <w:rPr>
      <w:rFonts w:cs="Times New Roman"/>
    </w:rPr>
  </w:style>
  <w:style w:type="character" w:customStyle="1" w:styleId="ListLabel218">
    <w:name w:val="ListLabel 218"/>
    <w:rPr>
      <w:rFonts w:cs="Times New Roman"/>
      <w:b w:val="0"/>
      <w:i w:val="0"/>
      <w:sz w:val="24"/>
      <w:szCs w:val="24"/>
    </w:rPr>
  </w:style>
  <w:style w:type="character" w:customStyle="1" w:styleId="ListLabel219">
    <w:name w:val="ListLabel 219"/>
    <w:rPr>
      <w:rFonts w:cs="Times New Roman"/>
    </w:rPr>
  </w:style>
  <w:style w:type="character" w:customStyle="1" w:styleId="ListLabel220">
    <w:name w:val="ListLabel 220"/>
    <w:rPr>
      <w:rFonts w:cs="Times New Roman"/>
    </w:rPr>
  </w:style>
  <w:style w:type="character" w:customStyle="1" w:styleId="ListLabel221">
    <w:name w:val="ListLabel 221"/>
    <w:rPr>
      <w:rFonts w:cs="Times New Roman"/>
    </w:rPr>
  </w:style>
  <w:style w:type="character" w:customStyle="1" w:styleId="ListLabel222">
    <w:name w:val="ListLabel 222"/>
    <w:rPr>
      <w:rFonts w:ascii="Cambria" w:hAnsi="Cambria"/>
      <w:sz w:val="22"/>
      <w:szCs w:val="22"/>
    </w:rPr>
  </w:style>
  <w:style w:type="character" w:customStyle="1" w:styleId="ListLabel223">
    <w:name w:val="ListLabel 223"/>
    <w:rPr>
      <w:rFonts w:cs="Times New Roman"/>
    </w:rPr>
  </w:style>
  <w:style w:type="character" w:customStyle="1" w:styleId="ListLabel224">
    <w:name w:val="ListLabel 224"/>
    <w:rPr>
      <w:rFonts w:cs="Times New Roman"/>
    </w:rPr>
  </w:style>
  <w:style w:type="character" w:customStyle="1" w:styleId="ListLabel225">
    <w:name w:val="ListLabel 225"/>
    <w:rPr>
      <w:rFonts w:cs="Times New Roman"/>
    </w:rPr>
  </w:style>
  <w:style w:type="character" w:customStyle="1" w:styleId="ListLabel226">
    <w:name w:val="ListLabel 226"/>
    <w:rPr>
      <w:rFonts w:cs="Times New Roman"/>
    </w:rPr>
  </w:style>
  <w:style w:type="character" w:customStyle="1" w:styleId="ListLabel227">
    <w:name w:val="ListLabel 227"/>
    <w:rPr>
      <w:rFonts w:cs="Times New Roman"/>
      <w:b w:val="0"/>
      <w:i w:val="0"/>
      <w:sz w:val="24"/>
      <w:szCs w:val="24"/>
    </w:rPr>
  </w:style>
  <w:style w:type="character" w:customStyle="1" w:styleId="ListLabel228">
    <w:name w:val="ListLabel 228"/>
    <w:rPr>
      <w:rFonts w:cs="Times New Roman"/>
    </w:rPr>
  </w:style>
  <w:style w:type="character" w:customStyle="1" w:styleId="ListLabel229">
    <w:name w:val="ListLabel 229"/>
    <w:rPr>
      <w:rFonts w:cs="Times New Roman"/>
    </w:rPr>
  </w:style>
  <w:style w:type="character" w:customStyle="1" w:styleId="ListLabel230">
    <w:name w:val="ListLabel 230"/>
    <w:rPr>
      <w:rFonts w:cs="Times New Roman"/>
    </w:rPr>
  </w:style>
  <w:style w:type="character" w:customStyle="1" w:styleId="ListLabel231">
    <w:name w:val="ListLabel 231"/>
    <w:rPr>
      <w:rFonts w:ascii="Cambria" w:hAnsi="Cambria"/>
      <w:sz w:val="22"/>
    </w:rPr>
  </w:style>
  <w:style w:type="character" w:customStyle="1" w:styleId="ListLabel232">
    <w:name w:val="ListLabel 232"/>
    <w:rPr>
      <w:rFonts w:cs="Times New Roman"/>
    </w:rPr>
  </w:style>
  <w:style w:type="character" w:customStyle="1" w:styleId="ListLabel233">
    <w:name w:val="ListLabel 233"/>
    <w:rPr>
      <w:rFonts w:cs="Times New Roman"/>
    </w:rPr>
  </w:style>
  <w:style w:type="character" w:customStyle="1" w:styleId="ListLabel234">
    <w:name w:val="ListLabel 234"/>
    <w:rPr>
      <w:rFonts w:cs="Times New Roman"/>
    </w:rPr>
  </w:style>
  <w:style w:type="character" w:customStyle="1" w:styleId="ListLabel235">
    <w:name w:val="ListLabel 235"/>
    <w:rPr>
      <w:rFonts w:cs="Times New Roman"/>
    </w:rPr>
  </w:style>
  <w:style w:type="character" w:customStyle="1" w:styleId="ListLabel236">
    <w:name w:val="ListLabel 236"/>
    <w:rPr>
      <w:rFonts w:cs="Times New Roman"/>
      <w:b w:val="0"/>
      <w:i w:val="0"/>
      <w:sz w:val="24"/>
      <w:szCs w:val="24"/>
    </w:rPr>
  </w:style>
  <w:style w:type="character" w:customStyle="1" w:styleId="ListLabel237">
    <w:name w:val="ListLabel 237"/>
    <w:rPr>
      <w:rFonts w:cs="Times New Roman"/>
    </w:rPr>
  </w:style>
  <w:style w:type="character" w:customStyle="1" w:styleId="ListLabel238">
    <w:name w:val="ListLabel 238"/>
    <w:rPr>
      <w:rFonts w:cs="Times New Roman"/>
    </w:rPr>
  </w:style>
  <w:style w:type="character" w:customStyle="1" w:styleId="ListLabel239">
    <w:name w:val="ListLabel 239"/>
    <w:rPr>
      <w:rFonts w:cs="Times New Roman"/>
    </w:rPr>
  </w:style>
  <w:style w:type="character" w:customStyle="1" w:styleId="ListLabel240">
    <w:name w:val="ListLabel 240"/>
    <w:rPr>
      <w:rFonts w:ascii="Cambria" w:hAnsi="Cambria"/>
      <w:sz w:val="22"/>
    </w:rPr>
  </w:style>
  <w:style w:type="character" w:customStyle="1" w:styleId="ListLabel241">
    <w:name w:val="ListLabel 241"/>
    <w:rPr>
      <w:rFonts w:cs="Times New Roman"/>
    </w:rPr>
  </w:style>
  <w:style w:type="character" w:customStyle="1" w:styleId="ListLabel242">
    <w:name w:val="ListLabel 242"/>
    <w:rPr>
      <w:rFonts w:cs="Times New Roman"/>
    </w:rPr>
  </w:style>
  <w:style w:type="character" w:customStyle="1" w:styleId="ListLabel243">
    <w:name w:val="ListLabel 243"/>
    <w:rPr>
      <w:rFonts w:cs="Times New Roman"/>
    </w:rPr>
  </w:style>
  <w:style w:type="character" w:customStyle="1" w:styleId="ListLabel244">
    <w:name w:val="ListLabel 244"/>
    <w:rPr>
      <w:rFonts w:cs="Times New Roman"/>
    </w:rPr>
  </w:style>
  <w:style w:type="character" w:customStyle="1" w:styleId="ListLabel245">
    <w:name w:val="ListLabel 245"/>
    <w:rPr>
      <w:rFonts w:cs="Times New Roman"/>
      <w:b w:val="0"/>
      <w:i w:val="0"/>
      <w:sz w:val="24"/>
      <w:szCs w:val="24"/>
    </w:rPr>
  </w:style>
  <w:style w:type="character" w:customStyle="1" w:styleId="ListLabel246">
    <w:name w:val="ListLabel 246"/>
    <w:rPr>
      <w:rFonts w:cs="Times New Roman"/>
    </w:rPr>
  </w:style>
  <w:style w:type="character" w:customStyle="1" w:styleId="ListLabel247">
    <w:name w:val="ListLabel 247"/>
    <w:rPr>
      <w:rFonts w:cs="Times New Roman"/>
    </w:rPr>
  </w:style>
  <w:style w:type="character" w:customStyle="1" w:styleId="ListLabel248">
    <w:name w:val="ListLabel 248"/>
    <w:rPr>
      <w:rFonts w:cs="Times New Roman"/>
    </w:rPr>
  </w:style>
  <w:style w:type="character" w:customStyle="1" w:styleId="ListLabel249">
    <w:name w:val="ListLabel 249"/>
    <w:rPr>
      <w:rFonts w:ascii="Cambria" w:hAnsi="Cambria"/>
      <w:sz w:val="22"/>
    </w:rPr>
  </w:style>
  <w:style w:type="character" w:customStyle="1" w:styleId="ListLabel250">
    <w:name w:val="ListLabel 250"/>
    <w:rPr>
      <w:rFonts w:cs="Times New Roman"/>
    </w:rPr>
  </w:style>
  <w:style w:type="character" w:customStyle="1" w:styleId="ListLabel251">
    <w:name w:val="ListLabel 251"/>
    <w:rPr>
      <w:rFonts w:cs="Times New Roman"/>
    </w:rPr>
  </w:style>
  <w:style w:type="character" w:customStyle="1" w:styleId="ListLabel252">
    <w:name w:val="ListLabel 252"/>
    <w:rPr>
      <w:rFonts w:cs="Times New Roman"/>
    </w:rPr>
  </w:style>
  <w:style w:type="character" w:customStyle="1" w:styleId="ListLabel253">
    <w:name w:val="ListLabel 253"/>
    <w:rPr>
      <w:rFonts w:cs="Times New Roman"/>
    </w:rPr>
  </w:style>
  <w:style w:type="character" w:customStyle="1" w:styleId="ListLabel254">
    <w:name w:val="ListLabel 254"/>
    <w:rPr>
      <w:rFonts w:cs="Times New Roman"/>
      <w:b/>
      <w:color w:val="00000A"/>
    </w:rPr>
  </w:style>
  <w:style w:type="character" w:customStyle="1" w:styleId="ListLabel255">
    <w:name w:val="ListLabel 255"/>
    <w:rPr>
      <w:rFonts w:eastAsia="Times New Roman" w:cs="Times New Roman"/>
      <w:b w:val="0"/>
      <w:sz w:val="22"/>
    </w:rPr>
  </w:style>
  <w:style w:type="character" w:customStyle="1" w:styleId="ListLabel256">
    <w:name w:val="ListLabel 256"/>
    <w:rPr>
      <w:rFonts w:ascii="Cambria" w:hAnsi="Cambria"/>
      <w:b/>
      <w:i w:val="0"/>
      <w:sz w:val="22"/>
      <w:szCs w:val="22"/>
    </w:rPr>
  </w:style>
  <w:style w:type="character" w:customStyle="1" w:styleId="ListLabel257">
    <w:name w:val="ListLabel 257"/>
    <w:rPr>
      <w:rFonts w:cs="Times New Roman"/>
    </w:rPr>
  </w:style>
  <w:style w:type="character" w:customStyle="1" w:styleId="ListLabel258">
    <w:name w:val="ListLabel 258"/>
    <w:rPr>
      <w:rFonts w:cs="Times New Roman"/>
    </w:rPr>
  </w:style>
  <w:style w:type="character" w:customStyle="1" w:styleId="ListLabel259">
    <w:name w:val="ListLabel 259"/>
    <w:rPr>
      <w:rFonts w:cs="Times New Roman"/>
    </w:rPr>
  </w:style>
  <w:style w:type="character" w:customStyle="1" w:styleId="ListLabel260">
    <w:name w:val="ListLabel 260"/>
    <w:rPr>
      <w:rFonts w:cs="Times New Roman"/>
    </w:rPr>
  </w:style>
  <w:style w:type="character" w:customStyle="1" w:styleId="ListLabel261">
    <w:name w:val="ListLabel 261"/>
    <w:rPr>
      <w:rFonts w:cs="Times New Roman"/>
    </w:rPr>
  </w:style>
  <w:style w:type="character" w:customStyle="1" w:styleId="ListLabel262">
    <w:name w:val="ListLabel 262"/>
    <w:rPr>
      <w:rFonts w:cs="Times New Roman"/>
      <w:b w:val="0"/>
      <w:i w:val="0"/>
      <w:sz w:val="24"/>
      <w:szCs w:val="24"/>
    </w:rPr>
  </w:style>
  <w:style w:type="character" w:customStyle="1" w:styleId="ListLabel263">
    <w:name w:val="ListLabel 263"/>
    <w:rPr>
      <w:rFonts w:cs="Times New Roman"/>
    </w:rPr>
  </w:style>
  <w:style w:type="character" w:customStyle="1" w:styleId="ListLabel264">
    <w:name w:val="ListLabel 264"/>
    <w:rPr>
      <w:rFonts w:cs="Times New Roman"/>
    </w:rPr>
  </w:style>
  <w:style w:type="character" w:customStyle="1" w:styleId="ListLabel265">
    <w:name w:val="ListLabel 265"/>
    <w:rPr>
      <w:rFonts w:cs="Times New Roman"/>
    </w:rPr>
  </w:style>
  <w:style w:type="character" w:customStyle="1" w:styleId="ListLabel266">
    <w:name w:val="ListLabel 266"/>
    <w:rPr>
      <w:rFonts w:ascii="Cambria" w:hAnsi="Cambria"/>
      <w:sz w:val="22"/>
    </w:rPr>
  </w:style>
  <w:style w:type="character" w:customStyle="1" w:styleId="ListLabel267">
    <w:name w:val="ListLabel 267"/>
    <w:rPr>
      <w:rFonts w:cs="Times New Roman"/>
    </w:rPr>
  </w:style>
  <w:style w:type="character" w:customStyle="1" w:styleId="ListLabel268">
    <w:name w:val="ListLabel 268"/>
    <w:rPr>
      <w:rFonts w:cs="Times New Roman"/>
    </w:rPr>
  </w:style>
  <w:style w:type="character" w:customStyle="1" w:styleId="ListLabel269">
    <w:name w:val="ListLabel 269"/>
    <w:rPr>
      <w:rFonts w:cs="Times New Roman"/>
    </w:rPr>
  </w:style>
  <w:style w:type="character" w:customStyle="1" w:styleId="ListLabel270">
    <w:name w:val="ListLabel 270"/>
    <w:rPr>
      <w:rFonts w:cs="Times New Roman"/>
    </w:rPr>
  </w:style>
  <w:style w:type="character" w:customStyle="1" w:styleId="ListLabel271">
    <w:name w:val="ListLabel 271"/>
    <w:rPr>
      <w:rFonts w:ascii="Cambria" w:eastAsia="Calibri" w:hAnsi="Cambria" w:cs="Times New Roman"/>
      <w:sz w:val="22"/>
    </w:rPr>
  </w:style>
  <w:style w:type="character" w:customStyle="1" w:styleId="ListLabel272">
    <w:name w:val="ListLabel 272"/>
    <w:rPr>
      <w:rFonts w:cs="Times New Roman"/>
    </w:rPr>
  </w:style>
  <w:style w:type="character" w:customStyle="1" w:styleId="ListLabel273">
    <w:name w:val="ListLabel 273"/>
    <w:rPr>
      <w:rFonts w:cs="Times New Roman"/>
    </w:rPr>
  </w:style>
  <w:style w:type="character" w:customStyle="1" w:styleId="ListLabel274">
    <w:name w:val="ListLabel 274"/>
    <w:rPr>
      <w:rFonts w:cs="Times New Roman"/>
    </w:rPr>
  </w:style>
  <w:style w:type="character" w:customStyle="1" w:styleId="ListLabel275">
    <w:name w:val="ListLabel 275"/>
    <w:rPr>
      <w:rFonts w:cs="Times New Roman"/>
    </w:rPr>
  </w:style>
  <w:style w:type="character" w:customStyle="1" w:styleId="ListLabel276">
    <w:name w:val="ListLabel 276"/>
    <w:rPr>
      <w:rFonts w:cs="Times New Roman"/>
    </w:rPr>
  </w:style>
  <w:style w:type="character" w:customStyle="1" w:styleId="ListLabel277">
    <w:name w:val="ListLabel 277"/>
    <w:rPr>
      <w:rFonts w:cs="Times New Roman"/>
    </w:rPr>
  </w:style>
  <w:style w:type="character" w:customStyle="1" w:styleId="ListLabel278">
    <w:name w:val="ListLabel 278"/>
    <w:rPr>
      <w:rFonts w:cs="Times New Roman"/>
    </w:rPr>
  </w:style>
  <w:style w:type="character" w:customStyle="1" w:styleId="ListLabel279">
    <w:name w:val="ListLabel 279"/>
    <w:rPr>
      <w:rFonts w:cs="Times New Roman"/>
    </w:rPr>
  </w:style>
  <w:style w:type="character" w:customStyle="1" w:styleId="ListLabel280">
    <w:name w:val="ListLabel 280"/>
    <w:rPr>
      <w:rFonts w:cs="Times New Roman"/>
      <w:b w:val="0"/>
      <w:i w:val="0"/>
      <w:sz w:val="24"/>
      <w:szCs w:val="24"/>
    </w:rPr>
  </w:style>
  <w:style w:type="character" w:customStyle="1" w:styleId="ListLabel281">
    <w:name w:val="ListLabel 281"/>
    <w:rPr>
      <w:rFonts w:cs="Times New Roman"/>
    </w:rPr>
  </w:style>
  <w:style w:type="character" w:customStyle="1" w:styleId="ListLabel282">
    <w:name w:val="ListLabel 282"/>
    <w:rPr>
      <w:rFonts w:cs="Times New Roman"/>
    </w:rPr>
  </w:style>
  <w:style w:type="character" w:customStyle="1" w:styleId="ListLabel283">
    <w:name w:val="ListLabel 283"/>
    <w:rPr>
      <w:rFonts w:cs="Times New Roman"/>
    </w:rPr>
  </w:style>
  <w:style w:type="character" w:customStyle="1" w:styleId="ListLabel284">
    <w:name w:val="ListLabel 284"/>
    <w:rPr>
      <w:rFonts w:ascii="Cambria" w:hAnsi="Cambria"/>
      <w:sz w:val="22"/>
    </w:rPr>
  </w:style>
  <w:style w:type="character" w:customStyle="1" w:styleId="ListLabel285">
    <w:name w:val="ListLabel 285"/>
    <w:rPr>
      <w:rFonts w:cs="Times New Roman"/>
    </w:rPr>
  </w:style>
  <w:style w:type="character" w:customStyle="1" w:styleId="ListLabel286">
    <w:name w:val="ListLabel 286"/>
    <w:rPr>
      <w:rFonts w:cs="Times New Roman"/>
    </w:rPr>
  </w:style>
  <w:style w:type="character" w:customStyle="1" w:styleId="ListLabel287">
    <w:name w:val="ListLabel 287"/>
    <w:rPr>
      <w:rFonts w:cs="Times New Roman"/>
    </w:rPr>
  </w:style>
  <w:style w:type="character" w:customStyle="1" w:styleId="ListLabel288">
    <w:name w:val="ListLabel 288"/>
    <w:rPr>
      <w:rFonts w:cs="Times New Roman"/>
    </w:rPr>
  </w:style>
  <w:style w:type="character" w:customStyle="1" w:styleId="ListLabel289">
    <w:name w:val="ListLabel 289"/>
    <w:rPr>
      <w:rFonts w:ascii="Cambria" w:hAnsi="Cambria"/>
      <w:sz w:val="22"/>
    </w:rPr>
  </w:style>
  <w:style w:type="character" w:customStyle="1" w:styleId="ListLabel290">
    <w:name w:val="ListLabel 290"/>
    <w:rPr>
      <w:rFonts w:ascii="Times New Roman" w:hAnsi="Times New Roman"/>
      <w:b/>
      <w:i w:val="0"/>
      <w:sz w:val="24"/>
      <w:szCs w:val="22"/>
    </w:rPr>
  </w:style>
  <w:style w:type="character" w:customStyle="1" w:styleId="ListLabel291">
    <w:name w:val="ListLabel 291"/>
    <w:rPr>
      <w:rFonts w:cs="Times New Roman"/>
      <w:b/>
      <w:color w:val="00000A"/>
    </w:rPr>
  </w:style>
  <w:style w:type="character" w:customStyle="1" w:styleId="ListLabel292">
    <w:name w:val="ListLabel 292"/>
    <w:rPr>
      <w:rFonts w:eastAsia="Times New Roman" w:cs="Times New Roman"/>
      <w:b w:val="0"/>
      <w:sz w:val="22"/>
    </w:rPr>
  </w:style>
  <w:style w:type="character" w:customStyle="1" w:styleId="ListLabel293">
    <w:name w:val="ListLabel 293"/>
    <w:rPr>
      <w:rFonts w:ascii="Cambria" w:hAnsi="Cambria"/>
      <w:i w:val="0"/>
      <w:sz w:val="22"/>
      <w:szCs w:val="22"/>
    </w:rPr>
  </w:style>
  <w:style w:type="character" w:customStyle="1" w:styleId="ListLabel294">
    <w:name w:val="ListLabel 294"/>
    <w:rPr>
      <w:rFonts w:cs="Times New Roman"/>
    </w:rPr>
  </w:style>
  <w:style w:type="character" w:customStyle="1" w:styleId="ListLabel295">
    <w:name w:val="ListLabel 295"/>
    <w:rPr>
      <w:rFonts w:cs="Times New Roman"/>
    </w:rPr>
  </w:style>
  <w:style w:type="character" w:customStyle="1" w:styleId="ListLabel296">
    <w:name w:val="ListLabel 296"/>
    <w:rPr>
      <w:rFonts w:cs="Times New Roman"/>
    </w:rPr>
  </w:style>
  <w:style w:type="character" w:customStyle="1" w:styleId="ListLabel297">
    <w:name w:val="ListLabel 297"/>
    <w:rPr>
      <w:rFonts w:cs="Times New Roman"/>
    </w:rPr>
  </w:style>
  <w:style w:type="character" w:customStyle="1" w:styleId="ListLabel298">
    <w:name w:val="ListLabel 298"/>
    <w:rPr>
      <w:rFonts w:cs="Times New Roman"/>
    </w:rPr>
  </w:style>
  <w:style w:type="character" w:customStyle="1" w:styleId="ListLabel299">
    <w:name w:val="ListLabel 299"/>
    <w:rPr>
      <w:rFonts w:ascii="Cambria" w:hAnsi="Cambria"/>
      <w:b w:val="0"/>
      <w:i w:val="0"/>
      <w:sz w:val="22"/>
      <w:szCs w:val="22"/>
    </w:rPr>
  </w:style>
  <w:style w:type="character" w:customStyle="1" w:styleId="ListLabel300">
    <w:name w:val="ListLabel 300"/>
    <w:rPr>
      <w:rFonts w:ascii="Cambria" w:eastAsia="Calibri" w:hAnsi="Cambria" w:cs="Times New Roman"/>
      <w:sz w:val="22"/>
    </w:rPr>
  </w:style>
  <w:style w:type="character" w:customStyle="1" w:styleId="ListLabel301">
    <w:name w:val="ListLabel 301"/>
    <w:rPr>
      <w:rFonts w:cs="Times New Roman"/>
    </w:rPr>
  </w:style>
  <w:style w:type="character" w:customStyle="1" w:styleId="ListLabel302">
    <w:name w:val="ListLabel 302"/>
    <w:rPr>
      <w:rFonts w:cs="Times New Roman"/>
    </w:rPr>
  </w:style>
  <w:style w:type="character" w:customStyle="1" w:styleId="ListLabel303">
    <w:name w:val="ListLabel 303"/>
    <w:rPr>
      <w:rFonts w:cs="Times New Roman"/>
    </w:rPr>
  </w:style>
  <w:style w:type="character" w:customStyle="1" w:styleId="ListLabel304">
    <w:name w:val="ListLabel 304"/>
    <w:rPr>
      <w:rFonts w:cs="Times New Roman"/>
    </w:rPr>
  </w:style>
  <w:style w:type="character" w:customStyle="1" w:styleId="ListLabel305">
    <w:name w:val="ListLabel 305"/>
    <w:rPr>
      <w:rFonts w:cs="Times New Roman"/>
    </w:rPr>
  </w:style>
  <w:style w:type="character" w:customStyle="1" w:styleId="ListLabel306">
    <w:name w:val="ListLabel 306"/>
    <w:rPr>
      <w:rFonts w:cs="Times New Roman"/>
    </w:rPr>
  </w:style>
  <w:style w:type="character" w:customStyle="1" w:styleId="ListLabel307">
    <w:name w:val="ListLabel 307"/>
    <w:rPr>
      <w:rFonts w:cs="Times New Roman"/>
    </w:rPr>
  </w:style>
  <w:style w:type="character" w:customStyle="1" w:styleId="ListLabel308">
    <w:name w:val="ListLabel 308"/>
    <w:rPr>
      <w:rFonts w:cs="Times New Roman"/>
    </w:rPr>
  </w:style>
  <w:style w:type="character" w:customStyle="1" w:styleId="ListLabel309">
    <w:name w:val="ListLabel 309"/>
    <w:rPr>
      <w:rFonts w:cs="Times New Roman"/>
      <w:b w:val="0"/>
      <w:i w:val="0"/>
      <w:sz w:val="24"/>
      <w:szCs w:val="24"/>
    </w:rPr>
  </w:style>
  <w:style w:type="character" w:customStyle="1" w:styleId="ListLabel310">
    <w:name w:val="ListLabel 310"/>
    <w:rPr>
      <w:rFonts w:cs="Times New Roman"/>
    </w:rPr>
  </w:style>
  <w:style w:type="character" w:customStyle="1" w:styleId="ListLabel311">
    <w:name w:val="ListLabel 311"/>
    <w:rPr>
      <w:rFonts w:cs="Times New Roman"/>
    </w:rPr>
  </w:style>
  <w:style w:type="character" w:customStyle="1" w:styleId="ListLabel312">
    <w:name w:val="ListLabel 312"/>
    <w:rPr>
      <w:rFonts w:cs="Times New Roman"/>
    </w:rPr>
  </w:style>
  <w:style w:type="character" w:customStyle="1" w:styleId="ListLabel313">
    <w:name w:val="ListLabel 313"/>
    <w:rPr>
      <w:rFonts w:ascii="Cambria" w:hAnsi="Cambria"/>
      <w:sz w:val="22"/>
    </w:rPr>
  </w:style>
  <w:style w:type="character" w:customStyle="1" w:styleId="ListLabel314">
    <w:name w:val="ListLabel 314"/>
    <w:rPr>
      <w:rFonts w:cs="Times New Roman"/>
    </w:rPr>
  </w:style>
  <w:style w:type="character" w:customStyle="1" w:styleId="ListLabel315">
    <w:name w:val="ListLabel 315"/>
    <w:rPr>
      <w:rFonts w:cs="Times New Roman"/>
    </w:rPr>
  </w:style>
  <w:style w:type="character" w:customStyle="1" w:styleId="ListLabel316">
    <w:name w:val="ListLabel 316"/>
    <w:rPr>
      <w:rFonts w:cs="Times New Roman"/>
    </w:rPr>
  </w:style>
  <w:style w:type="character" w:customStyle="1" w:styleId="ListLabel317">
    <w:name w:val="ListLabel 317"/>
    <w:rPr>
      <w:rFonts w:cs="Times New Roman"/>
    </w:rPr>
  </w:style>
  <w:style w:type="character" w:customStyle="1" w:styleId="ListLabel318">
    <w:name w:val="ListLabel 318"/>
    <w:rPr>
      <w:rFonts w:cs="Times New Roman"/>
      <w:b w:val="0"/>
      <w:i w:val="0"/>
      <w:sz w:val="24"/>
      <w:szCs w:val="24"/>
    </w:rPr>
  </w:style>
  <w:style w:type="character" w:customStyle="1" w:styleId="ListLabel319">
    <w:name w:val="ListLabel 319"/>
    <w:rPr>
      <w:rFonts w:cs="Times New Roman"/>
    </w:rPr>
  </w:style>
  <w:style w:type="character" w:customStyle="1" w:styleId="ListLabel320">
    <w:name w:val="ListLabel 320"/>
    <w:rPr>
      <w:rFonts w:cs="Times New Roman"/>
    </w:rPr>
  </w:style>
  <w:style w:type="character" w:customStyle="1" w:styleId="ListLabel321">
    <w:name w:val="ListLabel 321"/>
    <w:rPr>
      <w:rFonts w:cs="Times New Roman"/>
    </w:rPr>
  </w:style>
  <w:style w:type="character" w:customStyle="1" w:styleId="ListLabel322">
    <w:name w:val="ListLabel 322"/>
    <w:rPr>
      <w:rFonts w:ascii="Cambria" w:hAnsi="Cambria"/>
      <w:sz w:val="22"/>
      <w:szCs w:val="22"/>
    </w:rPr>
  </w:style>
  <w:style w:type="character" w:customStyle="1" w:styleId="ListLabel323">
    <w:name w:val="ListLabel 323"/>
    <w:rPr>
      <w:rFonts w:cs="Times New Roman"/>
    </w:rPr>
  </w:style>
  <w:style w:type="character" w:customStyle="1" w:styleId="ListLabel324">
    <w:name w:val="ListLabel 324"/>
    <w:rPr>
      <w:rFonts w:cs="Times New Roman"/>
    </w:rPr>
  </w:style>
  <w:style w:type="character" w:customStyle="1" w:styleId="ListLabel325">
    <w:name w:val="ListLabel 325"/>
    <w:rPr>
      <w:rFonts w:cs="Times New Roman"/>
    </w:rPr>
  </w:style>
  <w:style w:type="character" w:customStyle="1" w:styleId="ListLabel326">
    <w:name w:val="ListLabel 326"/>
    <w:rPr>
      <w:rFonts w:cs="Times New Roman"/>
    </w:rPr>
  </w:style>
  <w:style w:type="character" w:customStyle="1" w:styleId="ListLabel327">
    <w:name w:val="ListLabel 327"/>
    <w:rPr>
      <w:rFonts w:cs="Times New Roman"/>
      <w:b w:val="0"/>
      <w:i w:val="0"/>
      <w:sz w:val="24"/>
      <w:szCs w:val="24"/>
    </w:rPr>
  </w:style>
  <w:style w:type="character" w:customStyle="1" w:styleId="ListLabel328">
    <w:name w:val="ListLabel 328"/>
    <w:rPr>
      <w:rFonts w:cs="Times New Roman"/>
    </w:rPr>
  </w:style>
  <w:style w:type="character" w:customStyle="1" w:styleId="ListLabel329">
    <w:name w:val="ListLabel 329"/>
    <w:rPr>
      <w:rFonts w:cs="Times New Roman"/>
    </w:rPr>
  </w:style>
  <w:style w:type="character" w:customStyle="1" w:styleId="ListLabel330">
    <w:name w:val="ListLabel 330"/>
    <w:rPr>
      <w:rFonts w:cs="Times New Roman"/>
    </w:rPr>
  </w:style>
  <w:style w:type="character" w:customStyle="1" w:styleId="ListLabel331">
    <w:name w:val="ListLabel 331"/>
    <w:rPr>
      <w:rFonts w:ascii="Cambria" w:hAnsi="Cambria"/>
      <w:sz w:val="22"/>
    </w:rPr>
  </w:style>
  <w:style w:type="character" w:customStyle="1" w:styleId="ListLabel332">
    <w:name w:val="ListLabel 332"/>
    <w:rPr>
      <w:rFonts w:cs="Times New Roman"/>
    </w:rPr>
  </w:style>
  <w:style w:type="character" w:customStyle="1" w:styleId="ListLabel333">
    <w:name w:val="ListLabel 333"/>
    <w:rPr>
      <w:rFonts w:cs="Times New Roman"/>
    </w:rPr>
  </w:style>
  <w:style w:type="character" w:customStyle="1" w:styleId="ListLabel334">
    <w:name w:val="ListLabel 334"/>
    <w:rPr>
      <w:rFonts w:cs="Times New Roman"/>
    </w:rPr>
  </w:style>
  <w:style w:type="character" w:customStyle="1" w:styleId="ListLabel335">
    <w:name w:val="ListLabel 335"/>
    <w:rPr>
      <w:rFonts w:cs="Times New Roman"/>
    </w:rPr>
  </w:style>
  <w:style w:type="character" w:customStyle="1" w:styleId="ListLabel336">
    <w:name w:val="ListLabel 336"/>
    <w:rPr>
      <w:rFonts w:cs="Times New Roman"/>
      <w:b w:val="0"/>
      <w:i w:val="0"/>
      <w:sz w:val="24"/>
      <w:szCs w:val="24"/>
    </w:rPr>
  </w:style>
  <w:style w:type="character" w:customStyle="1" w:styleId="ListLabel337">
    <w:name w:val="ListLabel 337"/>
    <w:rPr>
      <w:rFonts w:cs="Times New Roman"/>
    </w:rPr>
  </w:style>
  <w:style w:type="character" w:customStyle="1" w:styleId="ListLabel338">
    <w:name w:val="ListLabel 338"/>
    <w:rPr>
      <w:rFonts w:cs="Times New Roman"/>
    </w:rPr>
  </w:style>
  <w:style w:type="character" w:customStyle="1" w:styleId="ListLabel339">
    <w:name w:val="ListLabel 339"/>
    <w:rPr>
      <w:rFonts w:cs="Times New Roman"/>
    </w:rPr>
  </w:style>
  <w:style w:type="character" w:customStyle="1" w:styleId="ListLabel340">
    <w:name w:val="ListLabel 340"/>
    <w:rPr>
      <w:rFonts w:ascii="Cambria" w:hAnsi="Cambria"/>
      <w:sz w:val="22"/>
    </w:rPr>
  </w:style>
  <w:style w:type="character" w:customStyle="1" w:styleId="ListLabel341">
    <w:name w:val="ListLabel 341"/>
    <w:rPr>
      <w:rFonts w:cs="Times New Roman"/>
    </w:rPr>
  </w:style>
  <w:style w:type="character" w:customStyle="1" w:styleId="ListLabel342">
    <w:name w:val="ListLabel 342"/>
    <w:rPr>
      <w:rFonts w:cs="Times New Roman"/>
    </w:rPr>
  </w:style>
  <w:style w:type="character" w:customStyle="1" w:styleId="ListLabel343">
    <w:name w:val="ListLabel 343"/>
    <w:rPr>
      <w:rFonts w:cs="Times New Roman"/>
    </w:rPr>
  </w:style>
  <w:style w:type="character" w:customStyle="1" w:styleId="ListLabel344">
    <w:name w:val="ListLabel 344"/>
    <w:rPr>
      <w:rFonts w:cs="Times New Roman"/>
    </w:rPr>
  </w:style>
  <w:style w:type="character" w:customStyle="1" w:styleId="ListLabel345">
    <w:name w:val="ListLabel 345"/>
    <w:rPr>
      <w:rFonts w:cs="Times New Roman"/>
      <w:b w:val="0"/>
      <w:i w:val="0"/>
      <w:sz w:val="24"/>
      <w:szCs w:val="24"/>
    </w:rPr>
  </w:style>
  <w:style w:type="character" w:customStyle="1" w:styleId="ListLabel346">
    <w:name w:val="ListLabel 346"/>
    <w:rPr>
      <w:rFonts w:cs="Times New Roman"/>
    </w:rPr>
  </w:style>
  <w:style w:type="character" w:customStyle="1" w:styleId="ListLabel347">
    <w:name w:val="ListLabel 347"/>
    <w:rPr>
      <w:rFonts w:cs="Times New Roman"/>
    </w:rPr>
  </w:style>
  <w:style w:type="character" w:customStyle="1" w:styleId="ListLabel348">
    <w:name w:val="ListLabel 348"/>
    <w:rPr>
      <w:rFonts w:cs="Times New Roman"/>
    </w:rPr>
  </w:style>
  <w:style w:type="character" w:customStyle="1" w:styleId="ListLabel349">
    <w:name w:val="ListLabel 349"/>
    <w:rPr>
      <w:rFonts w:ascii="Cambria" w:hAnsi="Cambria"/>
      <w:sz w:val="22"/>
    </w:rPr>
  </w:style>
  <w:style w:type="character" w:customStyle="1" w:styleId="ListLabel350">
    <w:name w:val="ListLabel 350"/>
    <w:rPr>
      <w:rFonts w:cs="Times New Roman"/>
    </w:rPr>
  </w:style>
  <w:style w:type="character" w:customStyle="1" w:styleId="ListLabel351">
    <w:name w:val="ListLabel 351"/>
    <w:rPr>
      <w:rFonts w:cs="Times New Roman"/>
    </w:rPr>
  </w:style>
  <w:style w:type="character" w:customStyle="1" w:styleId="ListLabel352">
    <w:name w:val="ListLabel 352"/>
    <w:rPr>
      <w:rFonts w:cs="Times New Roman"/>
    </w:rPr>
  </w:style>
  <w:style w:type="character" w:customStyle="1" w:styleId="ListLabel353">
    <w:name w:val="ListLabel 353"/>
    <w:rPr>
      <w:rFonts w:cs="Times New Roman"/>
    </w:rPr>
  </w:style>
  <w:style w:type="character" w:customStyle="1" w:styleId="ListLabel354">
    <w:name w:val="ListLabel 354"/>
    <w:rPr>
      <w:rFonts w:cs="Times New Roman"/>
      <w:b/>
      <w:color w:val="00000A"/>
    </w:rPr>
  </w:style>
  <w:style w:type="character" w:customStyle="1" w:styleId="ListLabel355">
    <w:name w:val="ListLabel 355"/>
    <w:rPr>
      <w:rFonts w:eastAsia="Times New Roman" w:cs="Times New Roman"/>
      <w:b w:val="0"/>
      <w:sz w:val="22"/>
    </w:rPr>
  </w:style>
  <w:style w:type="character" w:customStyle="1" w:styleId="ListLabel356">
    <w:name w:val="ListLabel 356"/>
    <w:rPr>
      <w:rFonts w:ascii="Cambria" w:hAnsi="Cambria"/>
      <w:b/>
      <w:i w:val="0"/>
      <w:sz w:val="22"/>
      <w:szCs w:val="22"/>
    </w:rPr>
  </w:style>
  <w:style w:type="character" w:customStyle="1" w:styleId="ListLabel357">
    <w:name w:val="ListLabel 357"/>
    <w:rPr>
      <w:rFonts w:cs="Times New Roman"/>
    </w:rPr>
  </w:style>
  <w:style w:type="character" w:customStyle="1" w:styleId="ListLabel358">
    <w:name w:val="ListLabel 358"/>
    <w:rPr>
      <w:rFonts w:cs="Times New Roman"/>
    </w:rPr>
  </w:style>
  <w:style w:type="character" w:customStyle="1" w:styleId="ListLabel359">
    <w:name w:val="ListLabel 359"/>
    <w:rPr>
      <w:rFonts w:cs="Times New Roman"/>
    </w:rPr>
  </w:style>
  <w:style w:type="character" w:customStyle="1" w:styleId="ListLabel360">
    <w:name w:val="ListLabel 360"/>
    <w:rPr>
      <w:rFonts w:cs="Times New Roman"/>
    </w:rPr>
  </w:style>
  <w:style w:type="character" w:customStyle="1" w:styleId="ListLabel361">
    <w:name w:val="ListLabel 361"/>
    <w:rPr>
      <w:rFonts w:cs="Times New Roman"/>
    </w:rPr>
  </w:style>
  <w:style w:type="character" w:customStyle="1" w:styleId="ListLabel362">
    <w:name w:val="ListLabel 362"/>
    <w:rPr>
      <w:rFonts w:cs="Times New Roman"/>
      <w:b w:val="0"/>
      <w:i w:val="0"/>
      <w:sz w:val="24"/>
      <w:szCs w:val="24"/>
    </w:rPr>
  </w:style>
  <w:style w:type="character" w:customStyle="1" w:styleId="ListLabel363">
    <w:name w:val="ListLabel 363"/>
    <w:rPr>
      <w:rFonts w:cs="Times New Roman"/>
    </w:rPr>
  </w:style>
  <w:style w:type="character" w:customStyle="1" w:styleId="ListLabel364">
    <w:name w:val="ListLabel 364"/>
    <w:rPr>
      <w:rFonts w:cs="Times New Roman"/>
    </w:rPr>
  </w:style>
  <w:style w:type="character" w:customStyle="1" w:styleId="ListLabel365">
    <w:name w:val="ListLabel 365"/>
    <w:rPr>
      <w:rFonts w:cs="Times New Roman"/>
    </w:rPr>
  </w:style>
  <w:style w:type="character" w:customStyle="1" w:styleId="ListLabel366">
    <w:name w:val="ListLabel 366"/>
    <w:rPr>
      <w:rFonts w:ascii="Cambria" w:hAnsi="Cambria"/>
      <w:sz w:val="22"/>
    </w:rPr>
  </w:style>
  <w:style w:type="character" w:customStyle="1" w:styleId="ListLabel367">
    <w:name w:val="ListLabel 367"/>
    <w:rPr>
      <w:rFonts w:cs="Times New Roman"/>
    </w:rPr>
  </w:style>
  <w:style w:type="character" w:customStyle="1" w:styleId="ListLabel368">
    <w:name w:val="ListLabel 368"/>
    <w:rPr>
      <w:rFonts w:cs="Times New Roman"/>
    </w:rPr>
  </w:style>
  <w:style w:type="character" w:customStyle="1" w:styleId="ListLabel369">
    <w:name w:val="ListLabel 369"/>
    <w:rPr>
      <w:rFonts w:cs="Times New Roman"/>
    </w:rPr>
  </w:style>
  <w:style w:type="character" w:customStyle="1" w:styleId="ListLabel370">
    <w:name w:val="ListLabel 370"/>
    <w:rPr>
      <w:rFonts w:cs="Times New Roman"/>
    </w:rPr>
  </w:style>
  <w:style w:type="character" w:customStyle="1" w:styleId="ListLabel371">
    <w:name w:val="ListLabel 371"/>
    <w:rPr>
      <w:rFonts w:ascii="Cambria" w:eastAsia="Calibri" w:hAnsi="Cambria" w:cs="Times New Roman"/>
      <w:sz w:val="22"/>
    </w:rPr>
  </w:style>
  <w:style w:type="character" w:customStyle="1" w:styleId="ListLabel372">
    <w:name w:val="ListLabel 372"/>
    <w:rPr>
      <w:rFonts w:cs="Times New Roman"/>
    </w:rPr>
  </w:style>
  <w:style w:type="character" w:customStyle="1" w:styleId="ListLabel373">
    <w:name w:val="ListLabel 373"/>
    <w:rPr>
      <w:rFonts w:cs="Times New Roman"/>
    </w:rPr>
  </w:style>
  <w:style w:type="character" w:customStyle="1" w:styleId="ListLabel374">
    <w:name w:val="ListLabel 374"/>
    <w:rPr>
      <w:rFonts w:cs="Times New Roman"/>
    </w:rPr>
  </w:style>
  <w:style w:type="character" w:customStyle="1" w:styleId="ListLabel375">
    <w:name w:val="ListLabel 375"/>
    <w:rPr>
      <w:rFonts w:cs="Times New Roman"/>
    </w:rPr>
  </w:style>
  <w:style w:type="character" w:customStyle="1" w:styleId="ListLabel376">
    <w:name w:val="ListLabel 376"/>
    <w:rPr>
      <w:rFonts w:cs="Times New Roman"/>
    </w:rPr>
  </w:style>
  <w:style w:type="character" w:customStyle="1" w:styleId="ListLabel377">
    <w:name w:val="ListLabel 377"/>
    <w:rPr>
      <w:rFonts w:cs="Times New Roman"/>
    </w:rPr>
  </w:style>
  <w:style w:type="character" w:customStyle="1" w:styleId="ListLabel378">
    <w:name w:val="ListLabel 378"/>
    <w:rPr>
      <w:rFonts w:cs="Times New Roman"/>
    </w:rPr>
  </w:style>
  <w:style w:type="character" w:customStyle="1" w:styleId="ListLabel379">
    <w:name w:val="ListLabel 379"/>
    <w:rPr>
      <w:rFonts w:cs="Times New Roman"/>
    </w:rPr>
  </w:style>
  <w:style w:type="character" w:customStyle="1" w:styleId="ListLabel380">
    <w:name w:val="ListLabel 380"/>
    <w:rPr>
      <w:rFonts w:cs="Times New Roman"/>
      <w:b w:val="0"/>
      <w:i w:val="0"/>
      <w:sz w:val="24"/>
      <w:szCs w:val="24"/>
    </w:rPr>
  </w:style>
  <w:style w:type="character" w:customStyle="1" w:styleId="ListLabel381">
    <w:name w:val="ListLabel 381"/>
    <w:rPr>
      <w:rFonts w:cs="Times New Roman"/>
    </w:rPr>
  </w:style>
  <w:style w:type="character" w:customStyle="1" w:styleId="ListLabel382">
    <w:name w:val="ListLabel 382"/>
    <w:rPr>
      <w:rFonts w:cs="Times New Roman"/>
    </w:rPr>
  </w:style>
  <w:style w:type="character" w:customStyle="1" w:styleId="ListLabel383">
    <w:name w:val="ListLabel 383"/>
    <w:rPr>
      <w:rFonts w:cs="Times New Roman"/>
    </w:rPr>
  </w:style>
  <w:style w:type="character" w:customStyle="1" w:styleId="ListLabel384">
    <w:name w:val="ListLabel 384"/>
    <w:rPr>
      <w:rFonts w:ascii="Cambria" w:hAnsi="Cambria"/>
      <w:sz w:val="22"/>
    </w:rPr>
  </w:style>
  <w:style w:type="character" w:customStyle="1" w:styleId="ListLabel385">
    <w:name w:val="ListLabel 385"/>
    <w:rPr>
      <w:rFonts w:cs="Times New Roman"/>
    </w:rPr>
  </w:style>
  <w:style w:type="character" w:customStyle="1" w:styleId="ListLabel386">
    <w:name w:val="ListLabel 386"/>
    <w:rPr>
      <w:rFonts w:cs="Times New Roman"/>
    </w:rPr>
  </w:style>
  <w:style w:type="character" w:customStyle="1" w:styleId="ListLabel387">
    <w:name w:val="ListLabel 387"/>
    <w:rPr>
      <w:rFonts w:cs="Times New Roman"/>
    </w:rPr>
  </w:style>
  <w:style w:type="character" w:customStyle="1" w:styleId="ListLabel388">
    <w:name w:val="ListLabel 388"/>
    <w:rPr>
      <w:rFonts w:cs="Times New Roman"/>
    </w:rPr>
  </w:style>
  <w:style w:type="character" w:customStyle="1" w:styleId="ListLabel389">
    <w:name w:val="ListLabel 389"/>
    <w:rPr>
      <w:rFonts w:ascii="Cambria" w:hAnsi="Cambria"/>
      <w:sz w:val="22"/>
    </w:rPr>
  </w:style>
  <w:style w:type="paragraph" w:styleId="Nagwek">
    <w:name w:val="header"/>
    <w:basedOn w:val="Normalny"/>
    <w:next w:val="Tekstpodstawowy"/>
    <w:link w:val="NagwekZnak"/>
    <w:uiPriority w:val="99"/>
    <w:unhideWhenUsed/>
    <w:rsid w:val="00271BEC"/>
    <w:pPr>
      <w:tabs>
        <w:tab w:val="center" w:pos="4536"/>
        <w:tab w:val="right" w:pos="9072"/>
      </w:tabs>
      <w:spacing w:after="0" w:line="240" w:lineRule="auto"/>
    </w:pPr>
  </w:style>
  <w:style w:type="paragraph" w:styleId="Tekstpodstawowy">
    <w:name w:val="Body Text"/>
    <w:basedOn w:val="Normalny"/>
    <w:link w:val="TekstpodstawowyZnak"/>
    <w:uiPriority w:val="99"/>
    <w:unhideWhenUsed/>
    <w:rsid w:val="004A2803"/>
    <w:pPr>
      <w:widowControl w:val="0"/>
      <w:spacing w:before="0" w:after="0" w:line="360" w:lineRule="atLeast"/>
      <w:jc w:val="both"/>
    </w:pPr>
    <w:rPr>
      <w:rFonts w:ascii="Times New Roman" w:eastAsia="Times New Roman" w:hAnsi="Times New Roman" w:cs="Times New Roman"/>
      <w:b/>
      <w:i/>
      <w:sz w:val="24"/>
      <w:lang w:val="x-none" w:eastAsia="x-none"/>
    </w:r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00971009"/>
    <w:rPr>
      <w:b/>
      <w:bCs/>
      <w:color w:val="9D9898" w:themeColor="accent1" w:themeShade="BF"/>
      <w:sz w:val="16"/>
      <w:szCs w:val="16"/>
    </w:rPr>
  </w:style>
  <w:style w:type="paragraph" w:customStyle="1" w:styleId="Indeks">
    <w:name w:val="Indeks"/>
    <w:basedOn w:val="Normalny"/>
    <w:pPr>
      <w:suppressLineNumbers/>
    </w:pPr>
    <w:rPr>
      <w:rFonts w:cs="Arial"/>
    </w:rPr>
  </w:style>
  <w:style w:type="paragraph" w:styleId="Akapitzlist">
    <w:name w:val="List Paragraph"/>
    <w:aliases w:val="maz_wyliczenie,opis dzialania,K-P_odwolanie,A_wyliczenie,Akapit z listą 1,L1,Numerowanie,List Paragraph,CW_Lista,T_SZ_List Paragraph,Akapit z listą5,List Paragraph1,Lista PR,Numeracja załączników"/>
    <w:basedOn w:val="Normalny"/>
    <w:link w:val="AkapitzlistZnak"/>
    <w:uiPriority w:val="34"/>
    <w:qFormat/>
    <w:rsid w:val="004429FF"/>
    <w:pPr>
      <w:ind w:left="720"/>
      <w:contextualSpacing/>
    </w:pPr>
  </w:style>
  <w:style w:type="paragraph" w:customStyle="1" w:styleId="Akapitzlist1">
    <w:name w:val="Akapit z listą1"/>
    <w:basedOn w:val="Normalny"/>
    <w:rsid w:val="00F667CD"/>
    <w:pPr>
      <w:spacing w:before="240" w:line="240" w:lineRule="auto"/>
      <w:ind w:left="720"/>
      <w:contextualSpacing/>
    </w:pPr>
    <w:rPr>
      <w:rFonts w:eastAsia="Times New Roman" w:cs="Times New Roman"/>
    </w:rPr>
  </w:style>
  <w:style w:type="paragraph" w:styleId="Stopka">
    <w:name w:val="footer"/>
    <w:basedOn w:val="Normalny"/>
    <w:link w:val="StopkaZnak"/>
    <w:uiPriority w:val="99"/>
    <w:unhideWhenUsed/>
    <w:rsid w:val="00271BEC"/>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AB1273"/>
    <w:pPr>
      <w:spacing w:after="0" w:line="240" w:lineRule="auto"/>
    </w:pPr>
    <w:rPr>
      <w:rFonts w:ascii="Segoe UI" w:hAnsi="Segoe UI" w:cs="Segoe UI"/>
      <w:sz w:val="18"/>
      <w:szCs w:val="18"/>
    </w:rPr>
  </w:style>
  <w:style w:type="paragraph" w:styleId="Podtytu">
    <w:name w:val="Subtitle"/>
    <w:basedOn w:val="Normalny"/>
    <w:next w:val="Normalny"/>
    <w:link w:val="PodtytuZnak"/>
    <w:uiPriority w:val="11"/>
    <w:qFormat/>
    <w:pPr>
      <w:spacing w:before="0" w:after="500" w:line="240" w:lineRule="auto"/>
    </w:pPr>
    <w:rPr>
      <w:smallCaps/>
      <w:color w:val="595959"/>
      <w:sz w:val="21"/>
      <w:szCs w:val="21"/>
    </w:rPr>
  </w:style>
  <w:style w:type="paragraph" w:styleId="Bezodstpw">
    <w:name w:val="No Spacing"/>
    <w:uiPriority w:val="1"/>
    <w:qFormat/>
    <w:rsid w:val="00971009"/>
    <w:pPr>
      <w:spacing w:after="0" w:line="240" w:lineRule="auto"/>
    </w:pPr>
  </w:style>
  <w:style w:type="paragraph" w:styleId="Cytat">
    <w:name w:val="Quote"/>
    <w:basedOn w:val="Normalny"/>
    <w:next w:val="Normalny"/>
    <w:link w:val="CytatZnak"/>
    <w:uiPriority w:val="29"/>
    <w:qFormat/>
    <w:rsid w:val="00971009"/>
    <w:rPr>
      <w:i/>
      <w:iCs/>
      <w:sz w:val="24"/>
      <w:szCs w:val="24"/>
    </w:rPr>
  </w:style>
  <w:style w:type="paragraph" w:styleId="Cytatintensywny">
    <w:name w:val="Intense Quote"/>
    <w:basedOn w:val="Normalny"/>
    <w:next w:val="Normalny"/>
    <w:link w:val="CytatintensywnyZnak"/>
    <w:uiPriority w:val="30"/>
    <w:qFormat/>
    <w:rsid w:val="00971009"/>
    <w:pPr>
      <w:spacing w:before="240" w:line="240" w:lineRule="auto"/>
      <w:ind w:left="1080" w:right="1080"/>
      <w:jc w:val="center"/>
    </w:pPr>
    <w:rPr>
      <w:color w:val="D0CECE" w:themeColor="accent1"/>
      <w:sz w:val="24"/>
      <w:szCs w:val="24"/>
    </w:rPr>
  </w:style>
  <w:style w:type="paragraph" w:styleId="Nagwekspisutreci">
    <w:name w:val="TOC Heading"/>
    <w:basedOn w:val="Nagwek1"/>
    <w:next w:val="Normalny"/>
    <w:uiPriority w:val="39"/>
    <w:unhideWhenUsed/>
    <w:qFormat/>
    <w:rsid w:val="00971009"/>
    <w:pPr>
      <w:outlineLvl w:val="9"/>
    </w:pPr>
  </w:style>
  <w:style w:type="paragraph" w:styleId="Tekstprzypisudolnego">
    <w:name w:val="footnote text"/>
    <w:basedOn w:val="Normalny"/>
    <w:link w:val="TekstprzypisudolnegoZnak"/>
    <w:uiPriority w:val="99"/>
  </w:style>
  <w:style w:type="paragraph" w:styleId="Tekstkomentarza">
    <w:name w:val="annotation text"/>
    <w:basedOn w:val="Normalny"/>
    <w:link w:val="TekstkomentarzaZnak"/>
    <w:uiPriority w:val="99"/>
    <w:unhideWhenUsed/>
    <w:qFormat/>
    <w:rsid w:val="00874619"/>
    <w:pPr>
      <w:spacing w:line="240" w:lineRule="auto"/>
    </w:pPr>
  </w:style>
  <w:style w:type="paragraph" w:styleId="Tematkomentarza">
    <w:name w:val="annotation subject"/>
    <w:basedOn w:val="Tekstkomentarza"/>
    <w:link w:val="TematkomentarzaZnak"/>
    <w:uiPriority w:val="99"/>
    <w:semiHidden/>
    <w:unhideWhenUsed/>
    <w:rsid w:val="00874619"/>
    <w:rPr>
      <w:b/>
      <w:bCs/>
    </w:rPr>
  </w:style>
  <w:style w:type="paragraph" w:styleId="Poprawka">
    <w:name w:val="Revision"/>
    <w:uiPriority w:val="99"/>
    <w:semiHidden/>
    <w:rsid w:val="00F10C1B"/>
  </w:style>
  <w:style w:type="character" w:styleId="Hipercze">
    <w:name w:val="Hyperlink"/>
    <w:basedOn w:val="Domylnaczcionkaakapitu"/>
    <w:uiPriority w:val="99"/>
    <w:unhideWhenUsed/>
    <w:rsid w:val="00301B0F"/>
    <w:rPr>
      <w:color w:val="0563C1" w:themeColor="hyperlink"/>
      <w:u w:val="single"/>
    </w:rPr>
  </w:style>
  <w:style w:type="paragraph" w:customStyle="1" w:styleId="Default">
    <w:name w:val="Default"/>
    <w:rsid w:val="00B04530"/>
    <w:pPr>
      <w:autoSpaceDE w:val="0"/>
      <w:autoSpaceDN w:val="0"/>
      <w:adjustRightInd w:val="0"/>
    </w:pPr>
    <w:rPr>
      <w:color w:val="000000"/>
      <w:sz w:val="24"/>
      <w:szCs w:val="24"/>
    </w:rPr>
  </w:style>
  <w:style w:type="character" w:styleId="UyteHipercze">
    <w:name w:val="FollowedHyperlink"/>
    <w:basedOn w:val="Domylnaczcionkaakapitu"/>
    <w:uiPriority w:val="99"/>
    <w:semiHidden/>
    <w:unhideWhenUsed/>
    <w:rsid w:val="00263908"/>
    <w:rPr>
      <w:color w:val="954F72" w:themeColor="followedHyperlink"/>
      <w:u w:val="single"/>
    </w:rPr>
  </w:style>
  <w:style w:type="paragraph" w:styleId="Tekstprzypisukocowego">
    <w:name w:val="endnote text"/>
    <w:basedOn w:val="Normalny"/>
    <w:link w:val="TekstprzypisukocowegoZnak"/>
    <w:uiPriority w:val="99"/>
    <w:semiHidden/>
    <w:unhideWhenUsed/>
    <w:rsid w:val="00B875AB"/>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B875AB"/>
  </w:style>
  <w:style w:type="character" w:styleId="Odwoanieprzypisukocowego">
    <w:name w:val="endnote reference"/>
    <w:basedOn w:val="Domylnaczcionkaakapitu"/>
    <w:uiPriority w:val="99"/>
    <w:semiHidden/>
    <w:unhideWhenUsed/>
    <w:rsid w:val="00B875AB"/>
    <w:rPr>
      <w:vertAlign w:val="superscript"/>
    </w:rPr>
  </w:style>
  <w:style w:type="paragraph" w:styleId="NormalnyWeb">
    <w:name w:val="Normal (Web)"/>
    <w:basedOn w:val="Normalny"/>
    <w:uiPriority w:val="99"/>
    <w:semiHidden/>
    <w:unhideWhenUsed/>
    <w:rsid w:val="00825C9A"/>
    <w:pPr>
      <w:spacing w:beforeAutospacing="1" w:after="100" w:afterAutospacing="1" w:line="240" w:lineRule="auto"/>
    </w:pPr>
    <w:rPr>
      <w:rFonts w:ascii="Times New Roman" w:eastAsia="Times New Roman" w:hAnsi="Times New Roman" w:cs="Times New Roman"/>
      <w:sz w:val="24"/>
      <w:szCs w:val="24"/>
    </w:rPr>
  </w:style>
  <w:style w:type="table" w:styleId="Tabela-Siatka">
    <w:name w:val="Table Grid"/>
    <w:basedOn w:val="Standardowy"/>
    <w:uiPriority w:val="39"/>
    <w:rsid w:val="0076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A2D31"/>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
    <w:link w:val="Akapitzlist"/>
    <w:uiPriority w:val="34"/>
    <w:qFormat/>
    <w:locked/>
    <w:rsid w:val="00951246"/>
  </w:style>
  <w:style w:type="character" w:styleId="Uwydatnienie">
    <w:name w:val="Emphasis"/>
    <w:uiPriority w:val="20"/>
    <w:qFormat/>
    <w:rsid w:val="00971009"/>
    <w:rPr>
      <w:caps/>
      <w:color w:val="696565" w:themeColor="accent1" w:themeShade="7F"/>
      <w:spacing w:val="5"/>
    </w:rPr>
  </w:style>
  <w:style w:type="character" w:customStyle="1" w:styleId="Nierozpoznanawzmianka1">
    <w:name w:val="Nierozpoznana wzmianka1"/>
    <w:basedOn w:val="Domylnaczcionkaakapitu"/>
    <w:uiPriority w:val="99"/>
    <w:semiHidden/>
    <w:unhideWhenUsed/>
    <w:rsid w:val="00060554"/>
    <w:rPr>
      <w:color w:val="605E5C"/>
      <w:shd w:val="clear" w:color="auto" w:fill="E1DFDD"/>
    </w:rPr>
  </w:style>
  <w:style w:type="character" w:customStyle="1" w:styleId="Nierozpoznanawzmianka2">
    <w:name w:val="Nierozpoznana wzmianka2"/>
    <w:basedOn w:val="Domylnaczcionkaakapitu"/>
    <w:uiPriority w:val="99"/>
    <w:semiHidden/>
    <w:unhideWhenUsed/>
    <w:rsid w:val="00907DE8"/>
    <w:rPr>
      <w:color w:val="605E5C"/>
      <w:shd w:val="clear" w:color="auto" w:fill="E1DFDD"/>
    </w:rPr>
  </w:style>
  <w:style w:type="character" w:customStyle="1" w:styleId="Nierozpoznanawzmianka3">
    <w:name w:val="Nierozpoznana wzmianka3"/>
    <w:basedOn w:val="Domylnaczcionkaakapitu"/>
    <w:uiPriority w:val="99"/>
    <w:semiHidden/>
    <w:unhideWhenUsed/>
    <w:rsid w:val="00C73F54"/>
    <w:rPr>
      <w:color w:val="605E5C"/>
      <w:shd w:val="clear" w:color="auto" w:fill="E1DFDD"/>
    </w:rPr>
  </w:style>
  <w:style w:type="character" w:customStyle="1" w:styleId="bumpedfont15">
    <w:name w:val="bumpedfont15"/>
    <w:basedOn w:val="Domylnaczcionkaakapitu"/>
    <w:rsid w:val="00D53E3E"/>
  </w:style>
  <w:style w:type="character" w:customStyle="1" w:styleId="apple-converted-space">
    <w:name w:val="apple-converted-space"/>
    <w:basedOn w:val="Domylnaczcionkaakapitu"/>
    <w:rsid w:val="00D53E3E"/>
  </w:style>
  <w:style w:type="character" w:customStyle="1" w:styleId="hgkelc">
    <w:name w:val="hgkelc"/>
    <w:basedOn w:val="Domylnaczcionkaakapitu"/>
    <w:rsid w:val="003E5280"/>
  </w:style>
  <w:style w:type="character" w:customStyle="1" w:styleId="d9fyld">
    <w:name w:val="d9fyld"/>
    <w:basedOn w:val="Domylnaczcionkaakapitu"/>
    <w:rsid w:val="003E5280"/>
  </w:style>
  <w:style w:type="character" w:customStyle="1" w:styleId="Nierozpoznanawzmianka4">
    <w:name w:val="Nierozpoznana wzmianka4"/>
    <w:basedOn w:val="Domylnaczcionkaakapitu"/>
    <w:uiPriority w:val="99"/>
    <w:semiHidden/>
    <w:unhideWhenUsed/>
    <w:rsid w:val="008E33BA"/>
    <w:rPr>
      <w:color w:val="605E5C"/>
      <w:shd w:val="clear" w:color="auto" w:fill="E1DFDD"/>
    </w:rPr>
  </w:style>
  <w:style w:type="paragraph" w:styleId="Spistreci1">
    <w:name w:val="toc 1"/>
    <w:basedOn w:val="Normalny"/>
    <w:next w:val="Normalny"/>
    <w:autoRedefine/>
    <w:uiPriority w:val="39"/>
    <w:unhideWhenUsed/>
    <w:rsid w:val="00877D30"/>
    <w:pPr>
      <w:spacing w:after="100"/>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rive.google.com/file/d/1prAelejYhBEaslcr3ulcWYj5BvGZo2Zw/view"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Motyw pakietu Office">
  <a:themeElements>
    <a:clrScheme name="Niestandardowy 4">
      <a:dk1>
        <a:sysClr val="windowText" lastClr="000000"/>
      </a:dk1>
      <a:lt1>
        <a:sysClr val="window" lastClr="FFFFFF"/>
      </a:lt1>
      <a:dk2>
        <a:srgbClr val="44546A"/>
      </a:dk2>
      <a:lt2>
        <a:srgbClr val="E7E6E6"/>
      </a:lt2>
      <a:accent1>
        <a:srgbClr val="D0CEC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vLsMzTYWGBYlp/foawkxU++2w==">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5147</Words>
  <Characters>30885</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damian3k2</dc:creator>
  <cp:lastModifiedBy>user</cp:lastModifiedBy>
  <cp:revision>2</cp:revision>
  <cp:lastPrinted>2025-03-03T15:16:00Z</cp:lastPrinted>
  <dcterms:created xsi:type="dcterms:W3CDTF">2025-03-07T13:39:00Z</dcterms:created>
  <dcterms:modified xsi:type="dcterms:W3CDTF">2025-03-07T13:39:00Z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