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2B2E4C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24"/>
          <w:lang w:eastAsia="x-none" w:bidi="ar-SA"/>
          <w14:ligatures w14:val="none"/>
        </w:rPr>
      </w:pPr>
      <w:r w:rsidRPr="002B2E4C">
        <w:rPr>
          <w:rFonts w:eastAsia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2B2E4C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 w:val="24"/>
          <w:lang w:bidi="ar-SA"/>
          <w14:ligatures w14:val="none"/>
        </w:rPr>
      </w:pPr>
    </w:p>
    <w:p w14:paraId="443FDBF4" w14:textId="77777777" w:rsidR="004715CC" w:rsidRPr="002B2E4C" w:rsidRDefault="004715CC" w:rsidP="004715CC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2B2E4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480F9E5" w14:textId="67595A15" w:rsidR="00ED26B0" w:rsidRPr="002B2E4C" w:rsidRDefault="00ED26B0" w:rsidP="004715CC">
      <w:pPr>
        <w:spacing w:line="276" w:lineRule="auto"/>
        <w:ind w:left="0"/>
        <w:rPr>
          <w:b w:val="0"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2B2E4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Imię i nazwisko współtwórców: Michał Witkowski, Piotr Czech, Jerzy Baumann, Bartosz </w:t>
      </w:r>
      <w:proofErr w:type="spellStart"/>
      <w:r w:rsidRPr="002B2E4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Supernat</w:t>
      </w:r>
      <w:proofErr w:type="spellEnd"/>
      <w:r w:rsidRPr="002B2E4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, Anna </w:t>
      </w:r>
      <w:proofErr w:type="spellStart"/>
      <w:r w:rsidRPr="002B2E4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Konert</w:t>
      </w:r>
      <w:proofErr w:type="spellEnd"/>
      <w:r w:rsidRPr="002B2E4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, Mateusz Osiecki, Agnieszka Fortońska</w:t>
      </w:r>
    </w:p>
    <w:p w14:paraId="71393A02" w14:textId="07FD1E53" w:rsidR="004715CC" w:rsidRPr="002B2E4C" w:rsidRDefault="004715CC" w:rsidP="004715CC">
      <w:pPr>
        <w:spacing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2B2E4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2B2E4C">
        <w:rPr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2B2E4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2B0B07E6" w:rsidR="004715CC" w:rsidRPr="002B2E4C" w:rsidRDefault="004715CC" w:rsidP="305F6916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2B2E4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Data: </w:t>
      </w:r>
      <w:r w:rsidR="00682450" w:rsidRPr="002B2E4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16</w:t>
      </w:r>
      <w:r w:rsidRPr="002B2E4C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.06.2025</w:t>
      </w:r>
    </w:p>
    <w:p w14:paraId="6D6278AE" w14:textId="29C41111" w:rsidR="004715CC" w:rsidRPr="002B2E4C" w:rsidRDefault="004715CC" w:rsidP="305F6916">
      <w:pPr>
        <w:pStyle w:val="Nagwek3"/>
        <w:ind w:left="0"/>
        <w:rPr>
          <w:rFonts w:ascii="Calibri" w:hAnsi="Calibri" w:cs="Calibri"/>
          <w:color w:val="000000" w:themeColor="text1"/>
          <w:lang w:eastAsia="en-US" w:bidi="ar-SA"/>
        </w:rPr>
      </w:pPr>
      <w:r w:rsidRPr="002B2E4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</w:t>
      </w:r>
      <w:r w:rsidR="00ED26B0" w:rsidRPr="002B2E4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 nr </w:t>
      </w:r>
      <w:r w:rsidR="00691C39" w:rsidRPr="002B2E4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10</w:t>
      </w:r>
      <w:r w:rsidR="09DEAAFA" w:rsidRPr="002B2E4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: </w:t>
      </w:r>
      <w:r w:rsidR="00691C39" w:rsidRPr="002B2E4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Zasady prowadzenia działalności lotniczej w Polsce</w:t>
      </w:r>
    </w:p>
    <w:p w14:paraId="74DBFA36" w14:textId="77777777" w:rsidR="004715CC" w:rsidRPr="002B2E4C" w:rsidRDefault="004715CC">
      <w:pPr>
        <w:rPr>
          <w:sz w:val="24"/>
        </w:rPr>
      </w:pPr>
    </w:p>
    <w:p w14:paraId="6C2FA75E" w14:textId="648F9F37" w:rsidR="00DE722C" w:rsidRPr="002B2E4C" w:rsidRDefault="004715CC" w:rsidP="004715CC">
      <w:pPr>
        <w:spacing w:line="276" w:lineRule="auto"/>
        <w:jc w:val="both"/>
        <w:rPr>
          <w:sz w:val="24"/>
        </w:rPr>
      </w:pPr>
      <w:r w:rsidRPr="002B2E4C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2B2E4C" w14:paraId="2DA61C96" w14:textId="77777777" w:rsidTr="67BD0FFE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B34A4E0" w14:textId="77777777" w:rsidR="00DE722C" w:rsidRPr="002B2E4C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2B2E4C">
              <w:rPr>
                <w:sz w:val="24"/>
              </w:rPr>
              <w:t>Wydział Prawa i Administracji</w:t>
            </w:r>
          </w:p>
        </w:tc>
      </w:tr>
      <w:tr w:rsidR="00DE722C" w:rsidRPr="002B2E4C" w14:paraId="13738F12" w14:textId="77777777" w:rsidTr="67BD0FFE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8A38008" w14:textId="77777777" w:rsidR="00DE722C" w:rsidRPr="002B2E4C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2B2E4C">
              <w:rPr>
                <w:sz w:val="24"/>
              </w:rPr>
              <w:t xml:space="preserve">Administracja, profil </w:t>
            </w:r>
            <w:proofErr w:type="spellStart"/>
            <w:r w:rsidRPr="002B2E4C">
              <w:rPr>
                <w:sz w:val="24"/>
              </w:rPr>
              <w:t>ogólnoakademicki</w:t>
            </w:r>
            <w:proofErr w:type="spellEnd"/>
            <w:r w:rsidRPr="002B2E4C">
              <w:rPr>
                <w:sz w:val="24"/>
              </w:rPr>
              <w:t xml:space="preserve"> </w:t>
            </w:r>
          </w:p>
        </w:tc>
      </w:tr>
      <w:tr w:rsidR="00DE722C" w:rsidRPr="002B2E4C" w14:paraId="590EE99D" w14:textId="77777777" w:rsidTr="67BD0FFE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44690C" w14:textId="77777777" w:rsidR="00DE722C" w:rsidRPr="002B2E4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B2E4C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EE474" w14:textId="356CF081" w:rsidR="00DE722C" w:rsidRPr="002B2E4C" w:rsidRDefault="0D71B392" w:rsidP="32AE6B73">
            <w:pPr>
              <w:spacing w:line="276" w:lineRule="auto"/>
              <w:ind w:left="62"/>
              <w:rPr>
                <w:sz w:val="24"/>
              </w:rPr>
            </w:pPr>
            <w:r w:rsidRPr="002B2E4C">
              <w:rPr>
                <w:b w:val="0"/>
                <w:sz w:val="24"/>
              </w:rPr>
              <w:t>P.AD.LN.SJ09</w:t>
            </w:r>
            <w:r w:rsidR="004715CC" w:rsidRPr="002B2E4C">
              <w:rPr>
                <w:b w:val="0"/>
                <w:sz w:val="24"/>
              </w:rPr>
              <w:t xml:space="preserve"> </w:t>
            </w:r>
            <w:r w:rsidR="006E2FEA" w:rsidRPr="002B2E4C">
              <w:rPr>
                <w:b w:val="0"/>
                <w:sz w:val="24"/>
              </w:rPr>
              <w:t>–</w:t>
            </w:r>
            <w:r w:rsidR="00691C39" w:rsidRPr="002B2E4C">
              <w:rPr>
                <w:b w:val="0"/>
                <w:sz w:val="24"/>
              </w:rPr>
              <w:t xml:space="preserve"> Zasady prowadzenia działalności lotniczej w Polsce</w:t>
            </w:r>
          </w:p>
        </w:tc>
      </w:tr>
      <w:tr w:rsidR="00DE722C" w:rsidRPr="002B2E4C" w14:paraId="32A7B3FC" w14:textId="77777777" w:rsidTr="67BD0FFE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C252413" w14:textId="77777777" w:rsidR="00DE722C" w:rsidRPr="002B2E4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B2E4C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B6EF" w14:textId="77777777" w:rsidR="00DE722C" w:rsidRPr="002B2E4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B2E4C">
              <w:rPr>
                <w:b w:val="0"/>
                <w:sz w:val="24"/>
              </w:rPr>
              <w:t>Konwersatorium</w:t>
            </w:r>
          </w:p>
        </w:tc>
      </w:tr>
      <w:tr w:rsidR="00DE722C" w:rsidRPr="002B2E4C" w14:paraId="36107EF5" w14:textId="77777777" w:rsidTr="67BD0FFE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6B0971F" w14:textId="77777777" w:rsidR="00DE722C" w:rsidRPr="002B2E4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B2E4C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7288" w14:textId="2A941144" w:rsidR="00DE722C" w:rsidRPr="002B2E4C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2B2E4C">
              <w:rPr>
                <w:b w:val="0"/>
                <w:sz w:val="24"/>
              </w:rPr>
              <w:t>Specjalizacyjny</w:t>
            </w:r>
          </w:p>
        </w:tc>
      </w:tr>
      <w:tr w:rsidR="00DE722C" w:rsidRPr="002B2E4C" w14:paraId="6FD48715" w14:textId="77777777" w:rsidTr="67BD0FFE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E355A5" w14:textId="77777777" w:rsidR="00DE722C" w:rsidRPr="002B2E4C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2B2E4C">
              <w:rPr>
                <w:sz w:val="24"/>
              </w:rPr>
              <w:t>Rok studiów</w:t>
            </w:r>
          </w:p>
          <w:p w14:paraId="79597035" w14:textId="77777777" w:rsidR="00DE722C" w:rsidRPr="002B2E4C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2B2E4C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9637" w14:textId="65C30EAF" w:rsidR="00DE722C" w:rsidRPr="002B2E4C" w:rsidRDefault="004715CC" w:rsidP="305F6916">
            <w:pPr>
              <w:spacing w:after="93" w:line="276" w:lineRule="auto"/>
              <w:ind w:left="6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Rok </w:t>
            </w:r>
            <w:r w:rsidR="00691C39" w:rsidRPr="002B2E4C">
              <w:rPr>
                <w:b w:val="0"/>
                <w:sz w:val="24"/>
              </w:rPr>
              <w:t>3</w:t>
            </w:r>
          </w:p>
          <w:p w14:paraId="6AB9AAA6" w14:textId="5EDBB84E" w:rsidR="00DE722C" w:rsidRPr="002B2E4C" w:rsidRDefault="00691C39" w:rsidP="305F6916">
            <w:pPr>
              <w:spacing w:line="276" w:lineRule="auto"/>
              <w:ind w:left="60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V</w:t>
            </w:r>
          </w:p>
        </w:tc>
      </w:tr>
      <w:tr w:rsidR="00DE722C" w:rsidRPr="002B2E4C" w14:paraId="00B637AE" w14:textId="77777777" w:rsidTr="67BD0FFE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4F163B" w14:textId="77777777" w:rsidR="00DE722C" w:rsidRPr="002B2E4C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2B2E4C">
              <w:rPr>
                <w:sz w:val="24"/>
              </w:rPr>
              <w:t>Stopień studiów</w:t>
            </w:r>
          </w:p>
          <w:p w14:paraId="4014BAF6" w14:textId="77777777" w:rsidR="00DE722C" w:rsidRPr="002B2E4C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2B2E4C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4DEC" w14:textId="77777777" w:rsidR="00DE722C" w:rsidRPr="002B2E4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2B2E4C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2B2E4C" w14:paraId="179079D9" w14:textId="77777777" w:rsidTr="67BD0FFE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982AE47" w14:textId="77777777" w:rsidR="00DE722C" w:rsidRPr="002B2E4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B2E4C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D01B" w14:textId="4793C7FE" w:rsidR="00DE722C" w:rsidRPr="002B2E4C" w:rsidRDefault="00691C39" w:rsidP="004715CC">
            <w:pPr>
              <w:spacing w:after="160" w:line="276" w:lineRule="auto"/>
              <w:ind w:left="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Prawoznawstwo</w:t>
            </w:r>
          </w:p>
        </w:tc>
      </w:tr>
      <w:tr w:rsidR="00DE722C" w:rsidRPr="002B2E4C" w14:paraId="215DA417" w14:textId="77777777" w:rsidTr="67BD0FFE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9F2BBD" w14:textId="77777777" w:rsidR="00DE722C" w:rsidRPr="002B2E4C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2B2E4C">
              <w:rPr>
                <w:sz w:val="24"/>
              </w:rPr>
              <w:t>Cele przedmiotu</w:t>
            </w:r>
          </w:p>
        </w:tc>
      </w:tr>
      <w:tr w:rsidR="00DE722C" w:rsidRPr="002B2E4C" w14:paraId="2C4D6E1C" w14:textId="77777777" w:rsidTr="67BD0FFE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9CA30" w14:textId="77777777" w:rsidR="00691C39" w:rsidRPr="002B2E4C" w:rsidRDefault="00691C39" w:rsidP="00691C39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Założeniem i celem zajęć jest przybliżenie problematyki zasad prowadzenia działalności lotniczej w Polsce; w ramach prowadzonego konwersatorium studentom zostaną przekazane ogólne informacje na temat tego, jak w Polsce została ukształtowana możliwość podejmowania i prowadzenia lotniczej działalności w Polsce, przy uwzględnieniu ustawy –Prawo przedsiębiorców.</w:t>
            </w:r>
          </w:p>
          <w:p w14:paraId="107E7021" w14:textId="77777777" w:rsidR="00691C39" w:rsidRPr="002B2E4C" w:rsidRDefault="00691C39" w:rsidP="00691C39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Założeniem i celem zajęć jest zapoznanie studentów z działalnością koncesjonowaną – przewozem lotniczym oraz działalnościami, na których wykonywanie konieczne jest uzyskanie zezwolenia – zarządzaniem lotniskiem użytku publicznego oraz wykonywaniem obsługi naziemnej.</w:t>
            </w:r>
          </w:p>
          <w:p w14:paraId="37B16A72" w14:textId="5DA0498D" w:rsidR="00DE722C" w:rsidRPr="002B2E4C" w:rsidRDefault="00691C39" w:rsidP="00691C39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b w:val="0"/>
                <w:bCs/>
                <w:sz w:val="24"/>
              </w:rPr>
              <w:t>Założeniem i celem zajęć jest omówienie tematu kontroli działalności lotniczej w Polsce.</w:t>
            </w:r>
          </w:p>
        </w:tc>
      </w:tr>
      <w:tr w:rsidR="00DE722C" w:rsidRPr="002B2E4C" w14:paraId="0E39115B" w14:textId="77777777" w:rsidTr="67BD0FFE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85E1B8" w14:textId="77777777" w:rsidR="00DE722C" w:rsidRPr="002B2E4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B2E4C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167F" w14:textId="77777777" w:rsidR="00DE722C" w:rsidRPr="002B2E4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2B2E4C" w14:paraId="395234E3" w14:textId="77777777" w:rsidTr="67BD0FFE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E5B966B" w14:textId="77777777" w:rsidR="00DE722C" w:rsidRPr="002B2E4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B2E4C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4FDA" w14:textId="77777777" w:rsidR="00DE722C" w:rsidRPr="002B2E4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2B2E4C" w14:paraId="06341E6C" w14:textId="77777777" w:rsidTr="67BD0FFE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1C3C860" w14:textId="77777777" w:rsidR="00DE722C" w:rsidRPr="002B2E4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B2E4C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D188" w14:textId="77777777" w:rsidR="00DE722C" w:rsidRPr="002B2E4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2B2E4C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2B2E4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2B2E4C">
              <w:rPr>
                <w:b w:val="0"/>
                <w:sz w:val="24"/>
              </w:rPr>
              <w:t>Problem-</w:t>
            </w:r>
            <w:proofErr w:type="spellStart"/>
            <w:r w:rsidRPr="002B2E4C">
              <w:rPr>
                <w:b w:val="0"/>
                <w:sz w:val="24"/>
              </w:rPr>
              <w:t>Based</w:t>
            </w:r>
            <w:proofErr w:type="spellEnd"/>
            <w:r w:rsidRPr="002B2E4C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2B2E4C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2B2E4C">
              <w:rPr>
                <w:b w:val="0"/>
                <w:sz w:val="24"/>
              </w:rPr>
              <w:t>Study</w:t>
            </w:r>
            <w:proofErr w:type="spellEnd"/>
            <w:r w:rsidRPr="002B2E4C">
              <w:rPr>
                <w:b w:val="0"/>
                <w:sz w:val="24"/>
              </w:rPr>
              <w:t xml:space="preserve">) </w:t>
            </w:r>
          </w:p>
        </w:tc>
      </w:tr>
      <w:tr w:rsidR="00DE722C" w:rsidRPr="002B2E4C" w14:paraId="49AA6CB3" w14:textId="77777777" w:rsidTr="67BD0FFE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87FCEC8" w14:textId="77777777" w:rsidR="00DE722C" w:rsidRPr="002B2E4C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B2E4C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A2C954F" w14:textId="77777777" w:rsidR="00DE722C" w:rsidRPr="002B2E4C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2B2E4C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2B2E4C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2B2E4C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2B2E4C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2B2E4C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2B2E4C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2B2E4C">
              <w:rPr>
                <w:b w:val="0"/>
                <w:sz w:val="24"/>
              </w:rPr>
              <w:t>Rzutnik multimedialny</w:t>
            </w:r>
          </w:p>
        </w:tc>
      </w:tr>
      <w:tr w:rsidR="00DE722C" w:rsidRPr="002B2E4C" w14:paraId="199333D9" w14:textId="77777777" w:rsidTr="67BD0FFE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18EEF0" w14:textId="77777777" w:rsidR="00DE722C" w:rsidRPr="002B2E4C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2B2E4C">
              <w:rPr>
                <w:sz w:val="24"/>
              </w:rPr>
              <w:t>Efekty uczenia się</w:t>
            </w:r>
          </w:p>
        </w:tc>
      </w:tr>
      <w:tr w:rsidR="00DE722C" w:rsidRPr="002B2E4C" w14:paraId="2EADBDF4" w14:textId="77777777" w:rsidTr="67BD0FFE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F38CA53" w14:textId="77777777" w:rsidR="00DE722C" w:rsidRPr="002B2E4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2B2E4C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0B6985D" w14:textId="77777777" w:rsidR="00DE722C" w:rsidRPr="002B2E4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2B2E4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7FFE2D3" w14:textId="77777777" w:rsidR="00DE722C" w:rsidRPr="002B2E4C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2B2E4C">
              <w:rPr>
                <w:sz w:val="24"/>
              </w:rPr>
              <w:t>Metody weryfikacji</w:t>
            </w:r>
          </w:p>
        </w:tc>
      </w:tr>
      <w:tr w:rsidR="00DE722C" w:rsidRPr="002B2E4C" w14:paraId="763092B5" w14:textId="77777777" w:rsidTr="67BD0FFE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FE0D" w14:textId="77777777" w:rsidR="00DE722C" w:rsidRPr="002B2E4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5BFE4" w14:textId="77777777" w:rsidR="005E356B" w:rsidRPr="002B2E4C" w:rsidRDefault="005E356B" w:rsidP="005E356B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Student zna i rozumie podstawowe ekonomiczne, prawne, etyczne i inne uwarunkowania prowadzenia działalności lotniczej w Polsce w tym podstawowe pojęcia i zasady podstawowe pojęcia i zasady z zakresu ochrony własności</w:t>
            </w:r>
          </w:p>
          <w:p w14:paraId="29AF6CFD" w14:textId="77777777" w:rsidR="005E356B" w:rsidRPr="002B2E4C" w:rsidRDefault="005E356B" w:rsidP="005E356B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przemysłowej i prawa autorskiego.</w:t>
            </w:r>
          </w:p>
          <w:p w14:paraId="3C8B0C58" w14:textId="0B6C4899" w:rsidR="00DE722C" w:rsidRPr="002B2E4C" w:rsidRDefault="00DE722C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55AB8" w14:textId="42DE8150" w:rsidR="00DE722C" w:rsidRPr="002B2E4C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2B2E4C">
              <w:rPr>
                <w:b w:val="0"/>
                <w:sz w:val="24"/>
              </w:rPr>
              <w:t>K_W0</w:t>
            </w:r>
            <w:r w:rsidR="005E356B" w:rsidRPr="002B2E4C">
              <w:rPr>
                <w:b w:val="0"/>
                <w:sz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71796" w14:textId="702A68F9" w:rsidR="00DE722C" w:rsidRPr="002B2E4C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  </w:t>
            </w:r>
            <w:r w:rsidR="005E356B" w:rsidRPr="002B2E4C">
              <w:rPr>
                <w:b w:val="0"/>
                <w:sz w:val="24"/>
              </w:rPr>
              <w:t>zaliczenie (pisemne)</w:t>
            </w:r>
          </w:p>
        </w:tc>
      </w:tr>
      <w:tr w:rsidR="00DE722C" w:rsidRPr="002B2E4C" w14:paraId="4BC85053" w14:textId="77777777" w:rsidTr="67BD0FFE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12F4" w14:textId="77777777" w:rsidR="00DE722C" w:rsidRPr="002B2E4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D5902" w14:textId="77777777" w:rsidR="005E356B" w:rsidRPr="002B2E4C" w:rsidRDefault="005E356B" w:rsidP="005E356B">
            <w:pPr>
              <w:spacing w:line="276" w:lineRule="auto"/>
              <w:ind w:left="4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Student zna i rozumie podstawowe zasady tworzenia i rozwoju różnych form indywidualnej przedsiębiorczości w obszarze lotnictwa cywilnego.</w:t>
            </w:r>
          </w:p>
          <w:p w14:paraId="7FD8F560" w14:textId="5429C995" w:rsidR="00DE722C" w:rsidRPr="002B2E4C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A62CE" w14:textId="27B5B8EB" w:rsidR="00DE722C" w:rsidRPr="002B2E4C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K_W</w:t>
            </w:r>
            <w:r w:rsidR="47ED16FB" w:rsidRPr="002B2E4C">
              <w:rPr>
                <w:b w:val="0"/>
                <w:sz w:val="24"/>
              </w:rPr>
              <w:t>0</w:t>
            </w:r>
            <w:r w:rsidR="005E356B" w:rsidRPr="002B2E4C">
              <w:rPr>
                <w:b w:val="0"/>
                <w:sz w:val="24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49C2D" w14:textId="558F43A0" w:rsidR="00DE722C" w:rsidRPr="002B2E4C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  </w:t>
            </w:r>
            <w:r w:rsidR="005E356B" w:rsidRPr="002B2E4C">
              <w:rPr>
                <w:b w:val="0"/>
                <w:sz w:val="24"/>
              </w:rPr>
              <w:t>zaliczenie (pisemne)</w:t>
            </w:r>
          </w:p>
        </w:tc>
      </w:tr>
      <w:tr w:rsidR="005E356B" w:rsidRPr="002B2E4C" w14:paraId="6ADAA622" w14:textId="77777777" w:rsidTr="67BD0FFE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CEA18" w14:textId="77777777" w:rsidR="005E356B" w:rsidRPr="002B2E4C" w:rsidRDefault="005E356B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7A950" w14:textId="77777777" w:rsidR="005E356B" w:rsidRPr="002B2E4C" w:rsidRDefault="005E356B" w:rsidP="005E356B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4B3420F9" w14:textId="77777777" w:rsidR="005E356B" w:rsidRPr="002B2E4C" w:rsidRDefault="005E356B" w:rsidP="005E356B">
            <w:pPr>
              <w:spacing w:line="276" w:lineRule="auto"/>
              <w:ind w:left="4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Student ma zaawansowaną wiedzę szczegółową z zakresu wybranej w toku kształcenia specjalności – administrowania ruchem lotniczym w obszarze prowadzenia działalności lotniczej w Polsce</w:t>
            </w:r>
          </w:p>
          <w:p w14:paraId="69CD72FB" w14:textId="77777777" w:rsidR="005E356B" w:rsidRPr="002B2E4C" w:rsidRDefault="005E356B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10657" w14:textId="3C239376" w:rsidR="005E356B" w:rsidRPr="002B2E4C" w:rsidRDefault="005E356B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K_W10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CF472" w14:textId="67F05D3A" w:rsidR="005E356B" w:rsidRPr="002B2E4C" w:rsidRDefault="005E356B" w:rsidP="004715CC">
            <w:pPr>
              <w:spacing w:after="167" w:line="276" w:lineRule="auto"/>
              <w:ind w:left="4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zaliczenie (pisemne)</w:t>
            </w:r>
          </w:p>
        </w:tc>
      </w:tr>
      <w:tr w:rsidR="00DE722C" w:rsidRPr="002B2E4C" w14:paraId="620B93A9" w14:textId="77777777" w:rsidTr="67BD0FFE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EBE6228" w14:textId="77777777" w:rsidR="00DE722C" w:rsidRPr="002B2E4C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2B2E4C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8C888D9" w14:textId="77777777" w:rsidR="00DE722C" w:rsidRPr="002B2E4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2B2E4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036D163" w14:textId="77777777" w:rsidR="00DE722C" w:rsidRPr="002B2E4C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2B2E4C">
              <w:rPr>
                <w:sz w:val="24"/>
              </w:rPr>
              <w:t>Metody weryfikacji</w:t>
            </w:r>
          </w:p>
        </w:tc>
      </w:tr>
      <w:tr w:rsidR="00DE722C" w:rsidRPr="002B2E4C" w14:paraId="28CB75BA" w14:textId="77777777" w:rsidTr="67BD0FFE">
        <w:trPr>
          <w:trHeight w:val="109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AC48" w14:textId="77777777" w:rsidR="00DE722C" w:rsidRPr="002B2E4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13964" w14:textId="77777777" w:rsidR="004A1B80" w:rsidRPr="002B2E4C" w:rsidRDefault="004A1B80" w:rsidP="004A1B80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Student potrafi planować i organizować pracę indywidualną oraz w zespole w obszarze prowadzenia działalności lotniczej także o charakterze interdyscyplinarnym.</w:t>
            </w:r>
          </w:p>
          <w:p w14:paraId="59DA49F4" w14:textId="62273537" w:rsidR="00DE722C" w:rsidRPr="002B2E4C" w:rsidRDefault="00DE722C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02F7" w14:textId="0B6FBF59" w:rsidR="00DE722C" w:rsidRPr="002B2E4C" w:rsidRDefault="004715CC" w:rsidP="305F6916">
            <w:pPr>
              <w:spacing w:line="276" w:lineRule="auto"/>
              <w:ind w:left="5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K_U0</w:t>
            </w:r>
            <w:r w:rsidR="004A1B80" w:rsidRPr="002B2E4C">
              <w:rPr>
                <w:b w:val="0"/>
                <w:bCs/>
                <w:sz w:val="24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1EF04" w14:textId="4AD9962E" w:rsidR="00DE722C" w:rsidRPr="002B2E4C" w:rsidRDefault="004715CC" w:rsidP="004715CC">
            <w:pPr>
              <w:spacing w:after="167" w:line="276" w:lineRule="auto"/>
              <w:ind w:left="6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 xml:space="preserve"> </w:t>
            </w:r>
            <w:r w:rsidR="004A1B80" w:rsidRPr="002B2E4C">
              <w:rPr>
                <w:b w:val="0"/>
                <w:bCs/>
                <w:sz w:val="24"/>
              </w:rPr>
              <w:t>zaliczenie (pisemne), dyskusja podczas zajęć</w:t>
            </w:r>
          </w:p>
        </w:tc>
      </w:tr>
      <w:tr w:rsidR="00DE722C" w:rsidRPr="002B2E4C" w14:paraId="0A5C9405" w14:textId="77777777" w:rsidTr="67BD0FFE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18FE" w14:textId="77777777" w:rsidR="00DE722C" w:rsidRPr="002B2E4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0BB33" w14:textId="77777777" w:rsidR="004A1B80" w:rsidRPr="002B2E4C" w:rsidRDefault="004A1B80" w:rsidP="004A1B8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 xml:space="preserve">Student potrafi identyfikować i interpretować podstawowe zjawiska i procesy społeczne związane z prowadzeniem działalności lotniczej </w:t>
            </w:r>
            <w:r w:rsidRPr="002B2E4C">
              <w:rPr>
                <w:b w:val="0"/>
                <w:bCs/>
                <w:sz w:val="24"/>
              </w:rPr>
              <w:lastRenderedPageBreak/>
              <w:t>z wykorzystaniem nabytej wiedzy z zakresu prawa i nauk o polityce administracji.</w:t>
            </w:r>
          </w:p>
          <w:p w14:paraId="077B9980" w14:textId="153161E4" w:rsidR="00DE722C" w:rsidRPr="002B2E4C" w:rsidRDefault="00DE722C" w:rsidP="004A1B8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7315" w14:textId="4F719372" w:rsidR="00DE722C" w:rsidRPr="002B2E4C" w:rsidRDefault="004715CC" w:rsidP="305F6916">
            <w:pPr>
              <w:spacing w:line="276" w:lineRule="auto"/>
              <w:ind w:left="5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lastRenderedPageBreak/>
              <w:t>K_U0</w:t>
            </w:r>
            <w:r w:rsidR="004A1B80" w:rsidRPr="002B2E4C">
              <w:rPr>
                <w:b w:val="0"/>
                <w:bCs/>
                <w:sz w:val="24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D06DA" w14:textId="243ABB35" w:rsidR="00DE722C" w:rsidRPr="002B2E4C" w:rsidRDefault="004715CC" w:rsidP="004715CC">
            <w:pPr>
              <w:spacing w:after="167" w:line="276" w:lineRule="auto"/>
              <w:ind w:left="6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 xml:space="preserve"> </w:t>
            </w:r>
            <w:r w:rsidR="004A1B80" w:rsidRPr="002B2E4C">
              <w:rPr>
                <w:b w:val="0"/>
                <w:bCs/>
                <w:sz w:val="24"/>
              </w:rPr>
              <w:t>zaliczenie (pisemne), dyskusja podczas zajęć</w:t>
            </w:r>
          </w:p>
        </w:tc>
      </w:tr>
      <w:tr w:rsidR="004A1B80" w:rsidRPr="002B2E4C" w14:paraId="067B29FF" w14:textId="77777777" w:rsidTr="67BD0FFE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27546" w14:textId="77777777" w:rsidR="004A1B80" w:rsidRPr="002B2E4C" w:rsidRDefault="004A1B80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E54E" w14:textId="0C3EC1C0" w:rsidR="004A1B80" w:rsidRPr="002B2E4C" w:rsidRDefault="004A1B80" w:rsidP="004A1B80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Student potrafi analizować i prognozować procesy i zjawiska społeczne związane z funkcjonowaniem lotnictwa cywilnego  z wykorzystaniem standardowych metod i narzędzi właściwych dla nauk prawnych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ECA4F" w14:textId="2B50E35B" w:rsidR="004A1B80" w:rsidRPr="002B2E4C" w:rsidRDefault="004A1B80" w:rsidP="305F6916">
            <w:pPr>
              <w:spacing w:line="276" w:lineRule="auto"/>
              <w:ind w:left="5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K_U10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424F8" w14:textId="49E05463" w:rsidR="004A1B80" w:rsidRPr="002B2E4C" w:rsidRDefault="004A1B80" w:rsidP="004715CC">
            <w:pPr>
              <w:spacing w:after="167" w:line="276" w:lineRule="auto"/>
              <w:ind w:left="6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zaliczenie (pisemne), dyskusja podczas zajęć</w:t>
            </w:r>
          </w:p>
        </w:tc>
      </w:tr>
      <w:tr w:rsidR="00DE722C" w:rsidRPr="002B2E4C" w14:paraId="678ECD47" w14:textId="77777777" w:rsidTr="67BD0FFE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A7277C" w14:textId="77777777" w:rsidR="00DE722C" w:rsidRPr="002B2E4C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2B2E4C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A28534" w14:textId="77777777" w:rsidR="00DE722C" w:rsidRPr="002B2E4C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2B2E4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DD0ED5" w14:textId="77777777" w:rsidR="00DE722C" w:rsidRPr="002B2E4C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2B2E4C">
              <w:rPr>
                <w:sz w:val="24"/>
              </w:rPr>
              <w:t>Metody weryfikacji</w:t>
            </w:r>
          </w:p>
        </w:tc>
      </w:tr>
      <w:tr w:rsidR="00DE722C" w:rsidRPr="002B2E4C" w14:paraId="7534A42F" w14:textId="77777777" w:rsidTr="67BD0FFE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1D11" w14:textId="77777777" w:rsidR="00DE722C" w:rsidRPr="002B2E4C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10A5C" w14:textId="77777777" w:rsidR="004A1B80" w:rsidRPr="002B2E4C" w:rsidRDefault="004A1B80" w:rsidP="004A1B80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15474CC2" w14:textId="77777777" w:rsidR="004A1B80" w:rsidRPr="002B2E4C" w:rsidRDefault="004A1B80" w:rsidP="004A1B80">
            <w:pPr>
              <w:spacing w:line="276" w:lineRule="auto"/>
              <w:ind w:left="4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Student jest gotów do krytycznej oceny działań własnych i zespołów którymi kieruje oraz organizacji w których uczestniczy związanych z prowadzeniem działalności lotniczej, a także do przyjmowania odpowiedzialności za skutki tych działań</w:t>
            </w:r>
          </w:p>
          <w:p w14:paraId="2476142E" w14:textId="22851251" w:rsidR="00DE722C" w:rsidRPr="002B2E4C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0FE0D" w14:textId="2988877E" w:rsidR="00DE722C" w:rsidRPr="002B2E4C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2B2E4C">
              <w:rPr>
                <w:b w:val="0"/>
                <w:sz w:val="24"/>
              </w:rPr>
              <w:t>K_K0</w:t>
            </w:r>
            <w:r w:rsidR="004A1B80" w:rsidRPr="002B2E4C">
              <w:rPr>
                <w:b w:val="0"/>
                <w:sz w:val="24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D524" w14:textId="4DDAD063" w:rsidR="00DE722C" w:rsidRPr="002B2E4C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 Dyskusja </w:t>
            </w:r>
            <w:r w:rsidR="004A1B80" w:rsidRPr="002B2E4C">
              <w:rPr>
                <w:b w:val="0"/>
                <w:sz w:val="24"/>
              </w:rPr>
              <w:t>podczas zajęć</w:t>
            </w:r>
          </w:p>
        </w:tc>
      </w:tr>
      <w:tr w:rsidR="004A1B80" w:rsidRPr="002B2E4C" w14:paraId="2D5A9CB9" w14:textId="77777777" w:rsidTr="67BD0FFE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02E22" w14:textId="77777777" w:rsidR="004A1B80" w:rsidRPr="002B2E4C" w:rsidRDefault="004A1B80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43066" w14:textId="77777777" w:rsidR="004A1B80" w:rsidRPr="002B2E4C" w:rsidRDefault="004A1B80" w:rsidP="004A1B80">
            <w:pPr>
              <w:spacing w:line="276" w:lineRule="auto"/>
              <w:ind w:left="4"/>
              <w:rPr>
                <w:b w:val="0"/>
                <w:sz w:val="24"/>
              </w:rPr>
            </w:pPr>
          </w:p>
          <w:p w14:paraId="70CED3A9" w14:textId="77777777" w:rsidR="004A1B80" w:rsidRPr="002B2E4C" w:rsidRDefault="004A1B80" w:rsidP="004A1B80">
            <w:pPr>
              <w:spacing w:line="276" w:lineRule="auto"/>
              <w:ind w:left="4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Student jest gotów do myślenia i działania w sposób przedsiębiorczy w zakresie prowadzenia działalności lotniczej w Polsce.</w:t>
            </w:r>
          </w:p>
          <w:p w14:paraId="25D69C6E" w14:textId="77777777" w:rsidR="004A1B80" w:rsidRPr="002B2E4C" w:rsidRDefault="004A1B80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BE5C7" w14:textId="1AE04BE5" w:rsidR="004A1B80" w:rsidRPr="002B2E4C" w:rsidRDefault="004A1B80" w:rsidP="67BD0FFE">
            <w:pPr>
              <w:spacing w:line="276" w:lineRule="auto"/>
              <w:ind w:left="46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K_K0</w:t>
            </w:r>
            <w:r w:rsidR="3676E727" w:rsidRPr="002B2E4C">
              <w:rPr>
                <w:b w:val="0"/>
                <w:sz w:val="24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AD783" w14:textId="223F2C89" w:rsidR="004A1B80" w:rsidRPr="002B2E4C" w:rsidRDefault="004A1B80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Dyskusja podczas zajęć</w:t>
            </w:r>
          </w:p>
        </w:tc>
      </w:tr>
    </w:tbl>
    <w:p w14:paraId="7F8BA4AB" w14:textId="77777777" w:rsidR="00DE722C" w:rsidRPr="002B2E4C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337"/>
        <w:gridCol w:w="842"/>
        <w:gridCol w:w="2066"/>
        <w:gridCol w:w="2650"/>
        <w:gridCol w:w="2575"/>
        <w:gridCol w:w="1398"/>
        <w:gridCol w:w="267"/>
        <w:gridCol w:w="637"/>
      </w:tblGrid>
      <w:tr w:rsidR="00DE722C" w:rsidRPr="002B2E4C" w14:paraId="4BD5AEB1" w14:textId="77777777" w:rsidTr="32AE6B73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B392F3B" w14:textId="77777777" w:rsidR="00DE722C" w:rsidRPr="002B2E4C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2B2E4C">
              <w:rPr>
                <w:sz w:val="24"/>
              </w:rPr>
              <w:t>Treści kształcenia</w:t>
            </w:r>
          </w:p>
        </w:tc>
      </w:tr>
      <w:tr w:rsidR="00DE722C" w:rsidRPr="002B2E4C" w14:paraId="2A888692" w14:textId="77777777" w:rsidTr="32AE6B73">
        <w:trPr>
          <w:trHeight w:val="448"/>
        </w:trPr>
        <w:tc>
          <w:tcPr>
            <w:tcW w:w="98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F9BA859" w14:textId="77777777" w:rsidR="00DE722C" w:rsidRPr="002B2E4C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2B2E4C">
              <w:rPr>
                <w:sz w:val="24"/>
              </w:rPr>
              <w:t>Tematyka zajęć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1963552" w14:textId="77777777" w:rsidR="00DE722C" w:rsidRPr="002B2E4C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2B2E4C">
              <w:rPr>
                <w:sz w:val="24"/>
              </w:rPr>
              <w:t>Liczba godzin</w:t>
            </w:r>
          </w:p>
        </w:tc>
      </w:tr>
      <w:tr w:rsidR="00DE722C" w:rsidRPr="002B2E4C" w14:paraId="48EECCC1" w14:textId="77777777" w:rsidTr="32AE6B73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9F6B93" w14:textId="77777777" w:rsidR="00DE722C" w:rsidRPr="002B2E4C" w:rsidRDefault="004715CC" w:rsidP="004715CC">
            <w:pPr>
              <w:spacing w:line="276" w:lineRule="auto"/>
              <w:ind w:left="0" w:right="38"/>
              <w:rPr>
                <w:sz w:val="24"/>
              </w:rPr>
            </w:pPr>
            <w:r w:rsidRPr="002B2E4C">
              <w:rPr>
                <w:sz w:val="24"/>
              </w:rPr>
              <w:t>Konwersatorium</w:t>
            </w:r>
          </w:p>
        </w:tc>
      </w:tr>
      <w:tr w:rsidR="001C5D83" w:rsidRPr="002B2E4C" w14:paraId="0444B204" w14:textId="77777777" w:rsidTr="32AE6B73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E69A" w14:textId="77777777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 1.</w:t>
            </w:r>
          </w:p>
        </w:tc>
        <w:tc>
          <w:tcPr>
            <w:tcW w:w="9531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168574B" w14:textId="238E6E3E" w:rsidR="001C5D83" w:rsidRPr="002B2E4C" w:rsidRDefault="001C5D83" w:rsidP="001C5D83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2B2E4C">
              <w:rPr>
                <w:rFonts w:eastAsia="DINCE-Regular"/>
                <w:b w:val="0"/>
                <w:bCs/>
                <w:color w:val="auto"/>
                <w:sz w:val="24"/>
              </w:rPr>
              <w:t>Ogólne informacje o zasadach prowadzenia działalności lotniczej w Polsce. Wydawanie koncesji i zezwoleń.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EAC" w14:textId="52D85264" w:rsidR="001C5D83" w:rsidRPr="002B2E4C" w:rsidRDefault="001C5D83" w:rsidP="001C5D83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2,5</w:t>
            </w:r>
          </w:p>
        </w:tc>
      </w:tr>
      <w:tr w:rsidR="001C5D83" w:rsidRPr="002B2E4C" w14:paraId="012EBB07" w14:textId="77777777" w:rsidTr="32AE6B73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BA6" w14:textId="77777777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 2.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85BF1FC" w14:textId="2A280D8D" w:rsidR="001C5D83" w:rsidRPr="002B2E4C" w:rsidRDefault="001C5D83" w:rsidP="001C5D83">
            <w:pPr>
              <w:spacing w:line="276" w:lineRule="auto"/>
              <w:ind w:left="70"/>
              <w:rPr>
                <w:b w:val="0"/>
                <w:bCs/>
                <w:sz w:val="24"/>
                <w:lang w:val="en-US"/>
              </w:rPr>
            </w:pPr>
            <w:r w:rsidRPr="002B2E4C">
              <w:rPr>
                <w:rFonts w:eastAsia="DINCE-Regular"/>
                <w:b w:val="0"/>
                <w:bCs/>
                <w:color w:val="auto"/>
                <w:sz w:val="24"/>
              </w:rPr>
              <w:t>Działalność gospodarcza z zakresu przewozów lotniczych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32DB" w14:textId="0E09CE5B" w:rsidR="001C5D83" w:rsidRPr="002B2E4C" w:rsidRDefault="001C5D83" w:rsidP="001C5D83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2,5</w:t>
            </w:r>
          </w:p>
        </w:tc>
      </w:tr>
      <w:tr w:rsidR="001C5D83" w:rsidRPr="002B2E4C" w14:paraId="43C1FB1D" w14:textId="77777777" w:rsidTr="32AE6B73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93F" w14:textId="77777777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 3.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B6ECE72" w14:textId="5D9CA992" w:rsidR="001C5D83" w:rsidRPr="002B2E4C" w:rsidRDefault="001C5D83" w:rsidP="001C5D83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2B2E4C">
              <w:rPr>
                <w:rFonts w:eastAsia="DINCE-Regular"/>
                <w:b w:val="0"/>
                <w:bCs/>
                <w:color w:val="auto"/>
                <w:sz w:val="24"/>
              </w:rPr>
              <w:t>Działalność gospodarcza z zakresu zarządzania lotniskami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AD6" w14:textId="77777777" w:rsidR="001C5D83" w:rsidRPr="002B2E4C" w:rsidRDefault="001C5D83" w:rsidP="001C5D83">
            <w:pPr>
              <w:spacing w:line="276" w:lineRule="auto"/>
              <w:ind w:left="22"/>
              <w:rPr>
                <w:sz w:val="24"/>
              </w:rPr>
            </w:pPr>
            <w:r w:rsidRPr="002B2E4C">
              <w:rPr>
                <w:b w:val="0"/>
                <w:sz w:val="24"/>
              </w:rPr>
              <w:t>2,5</w:t>
            </w:r>
          </w:p>
        </w:tc>
      </w:tr>
      <w:tr w:rsidR="001C5D83" w:rsidRPr="002B2E4C" w14:paraId="17D26A9B" w14:textId="77777777" w:rsidTr="32AE6B73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6A4B" w14:textId="77777777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 4.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DB98229" w14:textId="5E222D97" w:rsidR="001C5D83" w:rsidRPr="002B2E4C" w:rsidRDefault="001C5D83" w:rsidP="001C5D83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color w:val="auto"/>
                <w:sz w:val="24"/>
              </w:rPr>
              <w:t>Działalność gospodarcza z zakresu obsługi naziemnej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1A3D" w14:textId="77777777" w:rsidR="001C5D83" w:rsidRPr="002B2E4C" w:rsidRDefault="001C5D83" w:rsidP="001C5D83">
            <w:pPr>
              <w:spacing w:line="276" w:lineRule="auto"/>
              <w:ind w:left="22"/>
              <w:rPr>
                <w:sz w:val="24"/>
              </w:rPr>
            </w:pPr>
            <w:r w:rsidRPr="002B2E4C">
              <w:rPr>
                <w:b w:val="0"/>
                <w:sz w:val="24"/>
              </w:rPr>
              <w:t>2,5</w:t>
            </w:r>
          </w:p>
        </w:tc>
      </w:tr>
      <w:tr w:rsidR="001C5D83" w:rsidRPr="002B2E4C" w14:paraId="60F80C13" w14:textId="77777777" w:rsidTr="32AE6B73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8AFB" w14:textId="77777777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 5.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2F0B4BE" w14:textId="603BD4BE" w:rsidR="001C5D83" w:rsidRPr="002B2E4C" w:rsidRDefault="001C5D83" w:rsidP="001C5D83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color w:val="auto"/>
                <w:sz w:val="24"/>
              </w:rPr>
              <w:t xml:space="preserve"> Finansowanie działalności podmiotów lotniczych.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DD14" w14:textId="77777777" w:rsidR="001C5D83" w:rsidRPr="002B2E4C" w:rsidRDefault="001C5D83" w:rsidP="001C5D83">
            <w:pPr>
              <w:spacing w:line="276" w:lineRule="auto"/>
              <w:ind w:left="22"/>
              <w:rPr>
                <w:sz w:val="24"/>
              </w:rPr>
            </w:pPr>
            <w:r w:rsidRPr="002B2E4C">
              <w:rPr>
                <w:b w:val="0"/>
                <w:sz w:val="24"/>
              </w:rPr>
              <w:t>2,5</w:t>
            </w:r>
          </w:p>
        </w:tc>
      </w:tr>
      <w:tr w:rsidR="001C5D83" w:rsidRPr="002B2E4C" w14:paraId="5CC9AD68" w14:textId="77777777" w:rsidTr="32AE6B73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1D81" w14:textId="77777777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 6.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E1CA737" w14:textId="725D6386" w:rsidR="001C5D83" w:rsidRPr="002B2E4C" w:rsidRDefault="001C5D83" w:rsidP="001C5D83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color w:val="auto"/>
                <w:sz w:val="24"/>
              </w:rPr>
              <w:t xml:space="preserve"> Zasady i metody opracowywanie cenników opłat lotniczych i lotniskowych.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E284" w14:textId="77777777" w:rsidR="001C5D83" w:rsidRPr="002B2E4C" w:rsidRDefault="001C5D83" w:rsidP="001C5D83">
            <w:pPr>
              <w:spacing w:line="276" w:lineRule="auto"/>
              <w:ind w:left="22"/>
              <w:rPr>
                <w:sz w:val="24"/>
              </w:rPr>
            </w:pPr>
            <w:r w:rsidRPr="002B2E4C">
              <w:rPr>
                <w:b w:val="0"/>
                <w:sz w:val="24"/>
              </w:rPr>
              <w:t>2,5</w:t>
            </w:r>
          </w:p>
        </w:tc>
      </w:tr>
      <w:tr w:rsidR="001C5D83" w:rsidRPr="002B2E4C" w14:paraId="79D3C594" w14:textId="77777777" w:rsidTr="32AE6B73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4540" w14:textId="77777777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 7.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E837340" w14:textId="03BFF81B" w:rsidR="001C5D83" w:rsidRPr="002B2E4C" w:rsidRDefault="001C5D83" w:rsidP="001C5D83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color w:val="auto"/>
                <w:sz w:val="24"/>
              </w:rPr>
              <w:t>Działalność gospodarcza z zakresu żeglugi powietrznej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57A3" w14:textId="77777777" w:rsidR="001C5D83" w:rsidRPr="002B2E4C" w:rsidRDefault="001C5D83" w:rsidP="001C5D83">
            <w:pPr>
              <w:spacing w:line="276" w:lineRule="auto"/>
              <w:ind w:left="22"/>
              <w:rPr>
                <w:sz w:val="24"/>
              </w:rPr>
            </w:pPr>
            <w:r w:rsidRPr="002B2E4C">
              <w:rPr>
                <w:b w:val="0"/>
                <w:sz w:val="24"/>
              </w:rPr>
              <w:t>2,5</w:t>
            </w:r>
          </w:p>
        </w:tc>
      </w:tr>
      <w:tr w:rsidR="001C5D83" w:rsidRPr="002B2E4C" w14:paraId="74D0A1B0" w14:textId="77777777" w:rsidTr="32AE6B73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B5E7" w14:textId="77777777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 8.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9023191" w14:textId="769DD0FD" w:rsidR="001C5D83" w:rsidRPr="002B2E4C" w:rsidRDefault="001C5D83" w:rsidP="001C5D83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color w:val="auto"/>
                <w:sz w:val="24"/>
              </w:rPr>
              <w:t xml:space="preserve"> Konkurencyjność w zakresie przewozów lotniczych.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4890" w14:textId="4AF99D2E" w:rsidR="001C5D83" w:rsidRPr="002B2E4C" w:rsidRDefault="6E74EF49" w:rsidP="32AE6B73">
            <w:pPr>
              <w:spacing w:line="276" w:lineRule="auto"/>
              <w:ind w:left="22"/>
              <w:rPr>
                <w:sz w:val="24"/>
              </w:rPr>
            </w:pPr>
            <w:r w:rsidRPr="002B2E4C">
              <w:rPr>
                <w:b w:val="0"/>
                <w:sz w:val="24"/>
              </w:rPr>
              <w:t>1</w:t>
            </w:r>
            <w:r w:rsidR="001C5D83" w:rsidRPr="002B2E4C">
              <w:rPr>
                <w:b w:val="0"/>
                <w:sz w:val="24"/>
              </w:rPr>
              <w:t>,5</w:t>
            </w:r>
          </w:p>
        </w:tc>
      </w:tr>
      <w:tr w:rsidR="001C5D83" w:rsidRPr="002B2E4C" w14:paraId="2B69B5BE" w14:textId="77777777" w:rsidTr="32AE6B73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4E4DB" w14:textId="455C09B6" w:rsidR="001C5D83" w:rsidRPr="002B2E4C" w:rsidRDefault="001C5D83" w:rsidP="001C5D83">
            <w:pPr>
              <w:spacing w:line="276" w:lineRule="auto"/>
              <w:ind w:left="0"/>
              <w:jc w:val="center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9.</w:t>
            </w:r>
          </w:p>
        </w:tc>
        <w:tc>
          <w:tcPr>
            <w:tcW w:w="9531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19C7F8D" w14:textId="1F67680F" w:rsidR="001C5D83" w:rsidRPr="002B2E4C" w:rsidRDefault="001C5D83" w:rsidP="001C5D83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color w:val="auto"/>
                <w:sz w:val="24"/>
              </w:rPr>
              <w:t>Wpływ transformacji cyfrowej i zielonej na funkcjonowanie podmiotów lotniczych, w tym finansowanie i ceny usług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5FD79" w14:textId="656F129A" w:rsidR="001C5D83" w:rsidRPr="002B2E4C" w:rsidRDefault="0CD7E5D0" w:rsidP="32AE6B73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>1</w:t>
            </w:r>
          </w:p>
        </w:tc>
      </w:tr>
      <w:tr w:rsidR="001C5D83" w:rsidRPr="002B2E4C" w14:paraId="682A3B5D" w14:textId="77777777" w:rsidTr="32AE6B73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59BE198" w14:textId="77777777" w:rsidR="001C5D83" w:rsidRPr="002B2E4C" w:rsidRDefault="001C5D83" w:rsidP="001C5D83">
            <w:pPr>
              <w:spacing w:line="276" w:lineRule="auto"/>
              <w:ind w:left="65"/>
              <w:rPr>
                <w:sz w:val="24"/>
              </w:rPr>
            </w:pPr>
            <w:r w:rsidRPr="002B2E4C">
              <w:rPr>
                <w:sz w:val="24"/>
              </w:rPr>
              <w:lastRenderedPageBreak/>
              <w:t>Warunki i formy zaliczenia</w:t>
            </w:r>
          </w:p>
        </w:tc>
      </w:tr>
      <w:tr w:rsidR="001C5D83" w:rsidRPr="002B2E4C" w14:paraId="35E9EB15" w14:textId="77777777" w:rsidTr="32AE6B73">
        <w:trPr>
          <w:trHeight w:val="458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7345300" w14:textId="77777777" w:rsidR="001C5D83" w:rsidRPr="002B2E4C" w:rsidRDefault="001C5D83" w:rsidP="001C5D83">
            <w:pPr>
              <w:spacing w:line="276" w:lineRule="auto"/>
              <w:ind w:left="68"/>
              <w:rPr>
                <w:sz w:val="24"/>
              </w:rPr>
            </w:pPr>
            <w:r w:rsidRPr="002B2E4C">
              <w:rPr>
                <w:sz w:val="24"/>
              </w:rPr>
              <w:t>Forma zajęć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60F646" w14:textId="77777777" w:rsidR="001C5D83" w:rsidRPr="002B2E4C" w:rsidRDefault="001C5D83" w:rsidP="001C5D83">
            <w:pPr>
              <w:spacing w:line="276" w:lineRule="auto"/>
              <w:ind w:left="12"/>
              <w:rPr>
                <w:sz w:val="24"/>
              </w:rPr>
            </w:pPr>
            <w:r w:rsidRPr="002B2E4C">
              <w:rPr>
                <w:sz w:val="24"/>
              </w:rPr>
              <w:t>Metoda weryfikacji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D4BC03" w14:textId="77777777" w:rsidR="001C5D83" w:rsidRPr="002B2E4C" w:rsidRDefault="001C5D83" w:rsidP="001C5D83">
            <w:pPr>
              <w:spacing w:line="276" w:lineRule="auto"/>
              <w:ind w:left="12"/>
              <w:rPr>
                <w:sz w:val="24"/>
              </w:rPr>
            </w:pPr>
            <w:r w:rsidRPr="002B2E4C">
              <w:rPr>
                <w:sz w:val="24"/>
              </w:rPr>
              <w:t>Waga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3D9E2C" w14:textId="77777777" w:rsidR="001C5D83" w:rsidRPr="002B2E4C" w:rsidRDefault="001C5D83" w:rsidP="001C5D83">
            <w:pPr>
              <w:spacing w:line="276" w:lineRule="auto"/>
              <w:ind w:left="10"/>
              <w:rPr>
                <w:sz w:val="24"/>
              </w:rPr>
            </w:pPr>
            <w:r w:rsidRPr="002B2E4C">
              <w:rPr>
                <w:sz w:val="24"/>
              </w:rPr>
              <w:t>Procent</w:t>
            </w:r>
          </w:p>
        </w:tc>
      </w:tr>
      <w:tr w:rsidR="001C5D83" w:rsidRPr="002B2E4C" w14:paraId="746AE24C" w14:textId="77777777" w:rsidTr="32AE6B73">
        <w:trPr>
          <w:trHeight w:val="460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4A16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Konwersatorium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1672" w14:textId="3D661470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Zaliczenie (pisemne)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CED5" w14:textId="05F1E405" w:rsidR="001C5D83" w:rsidRPr="002B2E4C" w:rsidRDefault="001C5D83" w:rsidP="001C5D83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100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CB" w14:textId="262C04EF" w:rsidR="001C5D83" w:rsidRPr="002B2E4C" w:rsidRDefault="001C5D83" w:rsidP="001C5D83">
            <w:pPr>
              <w:spacing w:line="276" w:lineRule="auto"/>
              <w:ind w:left="69"/>
              <w:rPr>
                <w:sz w:val="24"/>
              </w:rPr>
            </w:pPr>
            <w:r w:rsidRPr="002B2E4C">
              <w:rPr>
                <w:b w:val="0"/>
                <w:sz w:val="24"/>
              </w:rPr>
              <w:t>100,00 %</w:t>
            </w:r>
          </w:p>
        </w:tc>
      </w:tr>
      <w:tr w:rsidR="001C5D83" w:rsidRPr="002B2E4C" w14:paraId="33109E50" w14:textId="77777777" w:rsidTr="32AE6B73">
        <w:trPr>
          <w:trHeight w:val="542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D9E0FFF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sz w:val="24"/>
              </w:rPr>
              <w:t>Informacja dodatkowa dotycząca zaliczenia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7BC2" w14:textId="77777777" w:rsidR="001C5D83" w:rsidRPr="002B2E4C" w:rsidRDefault="001C5D83" w:rsidP="001C5D83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1C5D83" w:rsidRPr="002B2E4C" w14:paraId="61F8D819" w14:textId="77777777" w:rsidTr="32AE6B73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F963EED" w14:textId="77777777" w:rsidR="001C5D83" w:rsidRPr="002B2E4C" w:rsidRDefault="001C5D83" w:rsidP="001C5D83">
            <w:pPr>
              <w:spacing w:line="276" w:lineRule="auto"/>
              <w:ind w:left="66"/>
              <w:rPr>
                <w:sz w:val="24"/>
              </w:rPr>
            </w:pPr>
            <w:r w:rsidRPr="002B2E4C">
              <w:rPr>
                <w:sz w:val="24"/>
              </w:rPr>
              <w:t>Zagadnienia realizowane w ramach pracy własnej studenta</w:t>
            </w:r>
          </w:p>
        </w:tc>
      </w:tr>
      <w:tr w:rsidR="001C5D83" w:rsidRPr="002B2E4C" w14:paraId="062DEEFA" w14:textId="77777777" w:rsidTr="32AE6B73">
        <w:trPr>
          <w:trHeight w:val="42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287144C" w14:textId="77777777" w:rsidR="001C5D83" w:rsidRPr="002B2E4C" w:rsidRDefault="001C5D83" w:rsidP="001C5D83">
            <w:pPr>
              <w:spacing w:line="276" w:lineRule="auto"/>
              <w:ind w:left="66"/>
              <w:rPr>
                <w:sz w:val="24"/>
              </w:rPr>
            </w:pPr>
            <w:r w:rsidRPr="002B2E4C">
              <w:rPr>
                <w:sz w:val="24"/>
              </w:rPr>
              <w:t>L.p.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3225996" w14:textId="77777777" w:rsidR="001C5D83" w:rsidRPr="002B2E4C" w:rsidRDefault="001C5D83" w:rsidP="001C5D83">
            <w:pPr>
              <w:spacing w:line="276" w:lineRule="auto"/>
              <w:ind w:left="67"/>
              <w:rPr>
                <w:sz w:val="24"/>
              </w:rPr>
            </w:pPr>
            <w:r w:rsidRPr="002B2E4C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D3AF40" w14:textId="77777777" w:rsidR="001C5D83" w:rsidRPr="002B2E4C" w:rsidRDefault="001C5D83" w:rsidP="001C5D83">
            <w:pPr>
              <w:spacing w:line="276" w:lineRule="auto"/>
              <w:ind w:left="30"/>
              <w:rPr>
                <w:sz w:val="24"/>
              </w:rPr>
            </w:pPr>
            <w:r w:rsidRPr="002B2E4C">
              <w:rPr>
                <w:sz w:val="24"/>
              </w:rPr>
              <w:t xml:space="preserve">Liczba godzin: 75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EF70956" w14:textId="77777777" w:rsidR="001C5D83" w:rsidRPr="002B2E4C" w:rsidRDefault="001C5D83" w:rsidP="001C5D83">
            <w:pPr>
              <w:spacing w:line="276" w:lineRule="auto"/>
              <w:ind w:left="69"/>
              <w:rPr>
                <w:sz w:val="24"/>
              </w:rPr>
            </w:pPr>
            <w:r w:rsidRPr="002B2E4C">
              <w:rPr>
                <w:sz w:val="24"/>
              </w:rPr>
              <w:t>ECTS</w:t>
            </w:r>
          </w:p>
        </w:tc>
      </w:tr>
      <w:tr w:rsidR="001C5D83" w:rsidRPr="002B2E4C" w14:paraId="5F3FE4E9" w14:textId="77777777" w:rsidTr="32AE6B73">
        <w:trPr>
          <w:trHeight w:val="54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B248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1.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363E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A4E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A94F" w14:textId="52D61B55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1C5D83" w:rsidRPr="002B2E4C" w14:paraId="21CCD5F0" w14:textId="77777777" w:rsidTr="32AE6B73">
        <w:trPr>
          <w:trHeight w:val="542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94BD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2.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FF0A7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FEFEA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8E82" w14:textId="7AE3740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1C5D83" w:rsidRPr="002B2E4C" w14:paraId="0ED00139" w14:textId="77777777" w:rsidTr="32AE6B73">
        <w:trPr>
          <w:trHeight w:val="543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2151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3.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050D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5C1C0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C33" w14:textId="02E71CD2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1C5D83" w:rsidRPr="002B2E4C" w14:paraId="0B211F56" w14:textId="77777777" w:rsidTr="32AE6B73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CCBA260" w14:textId="77777777" w:rsidR="001C5D83" w:rsidRPr="002B2E4C" w:rsidRDefault="001C5D83" w:rsidP="001C5D83">
            <w:pPr>
              <w:spacing w:line="276" w:lineRule="auto"/>
              <w:ind w:left="67"/>
              <w:rPr>
                <w:sz w:val="24"/>
              </w:rPr>
            </w:pPr>
            <w:r w:rsidRPr="002B2E4C">
              <w:rPr>
                <w:sz w:val="24"/>
              </w:rPr>
              <w:t>Godziny kontaktowe</w:t>
            </w:r>
          </w:p>
        </w:tc>
      </w:tr>
      <w:tr w:rsidR="001C5D83" w:rsidRPr="002B2E4C" w14:paraId="64FE6EA9" w14:textId="77777777" w:rsidTr="32AE6B73">
        <w:trPr>
          <w:trHeight w:val="390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0BBCD48" w14:textId="77777777" w:rsidR="001C5D83" w:rsidRPr="002B2E4C" w:rsidRDefault="001C5D83" w:rsidP="001C5D83">
            <w:pPr>
              <w:spacing w:line="276" w:lineRule="auto"/>
              <w:ind w:left="66"/>
              <w:rPr>
                <w:sz w:val="24"/>
              </w:rPr>
            </w:pPr>
            <w:r w:rsidRPr="002B2E4C">
              <w:rPr>
                <w:sz w:val="24"/>
              </w:rPr>
              <w:t>L.p.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0FBF0EFD" w14:textId="77777777" w:rsidR="001C5D83" w:rsidRPr="002B2E4C" w:rsidRDefault="001C5D83" w:rsidP="001C5D83">
            <w:pPr>
              <w:spacing w:line="276" w:lineRule="auto"/>
              <w:ind w:left="67"/>
              <w:rPr>
                <w:sz w:val="24"/>
              </w:rPr>
            </w:pPr>
            <w:r w:rsidRPr="002B2E4C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2FAEAC7E" w14:textId="77777777" w:rsidR="001C5D83" w:rsidRPr="002B2E4C" w:rsidRDefault="001C5D83" w:rsidP="001C5D83">
            <w:pPr>
              <w:spacing w:line="276" w:lineRule="auto"/>
              <w:ind w:left="30"/>
              <w:rPr>
                <w:sz w:val="24"/>
              </w:rPr>
            </w:pPr>
            <w:r w:rsidRPr="002B2E4C">
              <w:rPr>
                <w:sz w:val="24"/>
              </w:rPr>
              <w:t xml:space="preserve">Liczba godzin: 28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5B1C3A89" w14:textId="77777777" w:rsidR="001C5D83" w:rsidRPr="002B2E4C" w:rsidRDefault="001C5D83" w:rsidP="001C5D83">
            <w:pPr>
              <w:spacing w:line="276" w:lineRule="auto"/>
              <w:ind w:left="69"/>
              <w:rPr>
                <w:sz w:val="24"/>
              </w:rPr>
            </w:pPr>
            <w:r w:rsidRPr="002B2E4C">
              <w:rPr>
                <w:sz w:val="24"/>
              </w:rPr>
              <w:t>ECTS</w:t>
            </w:r>
          </w:p>
        </w:tc>
      </w:tr>
      <w:tr w:rsidR="001C5D83" w:rsidRPr="002B2E4C" w14:paraId="6B4D8849" w14:textId="77777777" w:rsidTr="32AE6B73">
        <w:trPr>
          <w:trHeight w:val="54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41E2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1.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3193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B043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4C9A" w14:textId="77494388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1C5D83" w:rsidRPr="002B2E4C" w14:paraId="33F54C4E" w14:textId="77777777" w:rsidTr="32AE6B73">
        <w:trPr>
          <w:trHeight w:val="541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3848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2.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DB06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udział w konsultacjach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7036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b w:val="0"/>
                <w:sz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61B" w14:textId="50B0AECB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1C5D83" w:rsidRPr="002B2E4C" w14:paraId="0E72F110" w14:textId="77777777" w:rsidTr="32AE6B73">
        <w:trPr>
          <w:trHeight w:val="400"/>
        </w:trPr>
        <w:tc>
          <w:tcPr>
            <w:tcW w:w="847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7D25A6" w14:textId="77777777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sz w:val="24"/>
              </w:rPr>
              <w:t>Suma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01A3EED" w14:textId="77777777" w:rsidR="001C5D83" w:rsidRPr="002B2E4C" w:rsidRDefault="001C5D83" w:rsidP="001C5D83">
            <w:pPr>
              <w:spacing w:line="276" w:lineRule="auto"/>
              <w:ind w:left="69"/>
              <w:rPr>
                <w:sz w:val="24"/>
              </w:rPr>
            </w:pPr>
            <w:r w:rsidRPr="002B2E4C">
              <w:rPr>
                <w:sz w:val="24"/>
              </w:rPr>
              <w:t>Godzin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9ECD9F8" w14:textId="77777777" w:rsidR="001C5D83" w:rsidRPr="002B2E4C" w:rsidRDefault="001C5D83" w:rsidP="001C5D83">
            <w:pPr>
              <w:spacing w:line="276" w:lineRule="auto"/>
              <w:ind w:left="69"/>
              <w:rPr>
                <w:sz w:val="24"/>
              </w:rPr>
            </w:pPr>
            <w:r w:rsidRPr="002B2E4C">
              <w:rPr>
                <w:sz w:val="24"/>
              </w:rPr>
              <w:t>ECTS</w:t>
            </w:r>
          </w:p>
        </w:tc>
      </w:tr>
      <w:tr w:rsidR="001C5D83" w:rsidRPr="002B2E4C" w14:paraId="785AC7D6" w14:textId="77777777" w:rsidTr="32AE6B73">
        <w:trPr>
          <w:trHeight w:val="316"/>
        </w:trPr>
        <w:tc>
          <w:tcPr>
            <w:tcW w:w="8470" w:type="dxa"/>
            <w:gridSpan w:val="5"/>
            <w:vMerge/>
          </w:tcPr>
          <w:p w14:paraId="6A96B0ED" w14:textId="77777777" w:rsidR="001C5D83" w:rsidRPr="002B2E4C" w:rsidRDefault="001C5D83" w:rsidP="001C5D83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6431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sz w:val="24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72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sz w:val="24"/>
              </w:rPr>
              <w:t>4</w:t>
            </w:r>
          </w:p>
        </w:tc>
      </w:tr>
      <w:tr w:rsidR="001C5D83" w:rsidRPr="002B2E4C" w14:paraId="5E0EBF60" w14:textId="77777777" w:rsidTr="32AE6B73">
        <w:trPr>
          <w:trHeight w:val="3044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4DB14DA9" w14:textId="77777777" w:rsidR="001C5D83" w:rsidRPr="002B2E4C" w:rsidRDefault="001C5D83" w:rsidP="001C5D83">
            <w:pPr>
              <w:spacing w:line="276" w:lineRule="auto"/>
              <w:ind w:left="70"/>
              <w:rPr>
                <w:sz w:val="24"/>
              </w:rPr>
            </w:pPr>
            <w:r w:rsidRPr="002B2E4C">
              <w:rPr>
                <w:sz w:val="24"/>
              </w:rPr>
              <w:t>Literatura podstawowa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7FB9C" w14:textId="0E8B1537" w:rsidR="001C5D83" w:rsidRPr="002B2E4C" w:rsidRDefault="001C5D83" w:rsidP="001C5D83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2187492B" w14:textId="3E80A637" w:rsidR="001C5D83" w:rsidRPr="002B2E4C" w:rsidRDefault="001C5D83" w:rsidP="001C5D83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1C5D83" w:rsidRPr="002B2E4C" w14:paraId="71268622" w14:textId="77777777" w:rsidTr="32AE6B73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906D77" w14:textId="77777777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sz w:val="24"/>
              </w:rPr>
              <w:t>Literatura uzupełniająca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85A9A" w14:textId="77777777" w:rsidR="001C5D83" w:rsidRPr="002B2E4C" w:rsidRDefault="001C5D83" w:rsidP="001C5D83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 xml:space="preserve">A. </w:t>
            </w:r>
            <w:proofErr w:type="spellStart"/>
            <w:r w:rsidRPr="002B2E4C">
              <w:rPr>
                <w:b w:val="0"/>
                <w:sz w:val="24"/>
              </w:rPr>
              <w:t>Hoszman</w:t>
            </w:r>
            <w:proofErr w:type="spellEnd"/>
            <w:r w:rsidRPr="002B2E4C">
              <w:rPr>
                <w:b w:val="0"/>
                <w:sz w:val="24"/>
              </w:rPr>
              <w:t xml:space="preserve">, Biznes Lotniczy, Wydawnictwo SGH, Warszawa 2019  </w:t>
            </w:r>
          </w:p>
          <w:p w14:paraId="1248893C" w14:textId="77777777" w:rsidR="001C5D83" w:rsidRPr="002B2E4C" w:rsidRDefault="001C5D83" w:rsidP="001C5D83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 xml:space="preserve">S. </w:t>
            </w:r>
            <w:proofErr w:type="spellStart"/>
            <w:r w:rsidRPr="002B2E4C">
              <w:rPr>
                <w:b w:val="0"/>
                <w:sz w:val="24"/>
              </w:rPr>
              <w:t>Huderek-Glapska</w:t>
            </w:r>
            <w:proofErr w:type="spellEnd"/>
            <w:r w:rsidRPr="002B2E4C">
              <w:rPr>
                <w:b w:val="0"/>
                <w:sz w:val="24"/>
              </w:rPr>
              <w:t>, Zarządzanie rozwojem portów lotniczych, C. H. Beck, Warszawa 2019</w:t>
            </w:r>
          </w:p>
          <w:p w14:paraId="1EC470C2" w14:textId="03C57A9F" w:rsidR="001C5D83" w:rsidRPr="002B2E4C" w:rsidRDefault="001C5D83" w:rsidP="001C5D83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2B2E4C">
              <w:rPr>
                <w:b w:val="0"/>
                <w:sz w:val="24"/>
              </w:rPr>
              <w:t xml:space="preserve">G. </w:t>
            </w:r>
            <w:proofErr w:type="spellStart"/>
            <w:r w:rsidRPr="002B2E4C">
              <w:rPr>
                <w:b w:val="0"/>
                <w:sz w:val="24"/>
              </w:rPr>
              <w:t>Lubeńczuk</w:t>
            </w:r>
            <w:proofErr w:type="spellEnd"/>
            <w:r w:rsidRPr="002B2E4C">
              <w:rPr>
                <w:b w:val="0"/>
                <w:sz w:val="24"/>
              </w:rPr>
              <w:t>, A. Wołoszyn-Cichocka, M. Zdyb, Prawo przedsiębiorców. Komentarz; 2019</w:t>
            </w:r>
          </w:p>
        </w:tc>
      </w:tr>
      <w:tr w:rsidR="001C5D83" w:rsidRPr="002B2E4C" w14:paraId="06F53243" w14:textId="77777777" w:rsidTr="32AE6B73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898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F4C760" w14:textId="77777777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sz w:val="24"/>
              </w:rPr>
              <w:lastRenderedPageBreak/>
              <w:t>Miejsce realizacji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880D" w14:textId="77777777" w:rsidR="001C5D83" w:rsidRPr="002B2E4C" w:rsidRDefault="001C5D83" w:rsidP="001C5D83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1C5D83" w:rsidRPr="002B2E4C" w:rsidRDefault="001C5D83" w:rsidP="001C5D83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2B2E4C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1C5D83" w:rsidRPr="002B2E4C" w:rsidRDefault="001C5D83" w:rsidP="001C5D83">
            <w:pPr>
              <w:spacing w:line="276" w:lineRule="auto"/>
              <w:ind w:left="0"/>
              <w:rPr>
                <w:sz w:val="24"/>
              </w:rPr>
            </w:pPr>
            <w:r w:rsidRPr="002B2E4C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795D5FD" w14:textId="77777777" w:rsidR="00BF7B89" w:rsidRPr="002B2E4C" w:rsidRDefault="00BF7B89" w:rsidP="004715CC">
      <w:pPr>
        <w:spacing w:line="276" w:lineRule="auto"/>
        <w:rPr>
          <w:sz w:val="24"/>
        </w:rPr>
      </w:pPr>
    </w:p>
    <w:sectPr w:rsidR="00BF7B89" w:rsidRPr="002B2E4C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CE-Regular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A46B"/>
    <w:multiLevelType w:val="hybridMultilevel"/>
    <w:tmpl w:val="F830D734"/>
    <w:lvl w:ilvl="0" w:tplc="A8C61E0C">
      <w:start w:val="5"/>
      <w:numFmt w:val="decimal"/>
      <w:lvlText w:val="%1."/>
      <w:lvlJc w:val="left"/>
      <w:pPr>
        <w:ind w:left="4028" w:hanging="360"/>
      </w:pPr>
    </w:lvl>
    <w:lvl w:ilvl="1" w:tplc="0F64AA0C">
      <w:start w:val="1"/>
      <w:numFmt w:val="lowerLetter"/>
      <w:lvlText w:val="%2."/>
      <w:lvlJc w:val="left"/>
      <w:pPr>
        <w:ind w:left="4748" w:hanging="360"/>
      </w:pPr>
    </w:lvl>
    <w:lvl w:ilvl="2" w:tplc="377AB00E">
      <w:start w:val="1"/>
      <w:numFmt w:val="lowerRoman"/>
      <w:lvlText w:val="%3."/>
      <w:lvlJc w:val="right"/>
      <w:pPr>
        <w:ind w:left="5468" w:hanging="180"/>
      </w:pPr>
    </w:lvl>
    <w:lvl w:ilvl="3" w:tplc="BE34701C">
      <w:start w:val="1"/>
      <w:numFmt w:val="decimal"/>
      <w:lvlText w:val="%4."/>
      <w:lvlJc w:val="left"/>
      <w:pPr>
        <w:ind w:left="6188" w:hanging="360"/>
      </w:pPr>
    </w:lvl>
    <w:lvl w:ilvl="4" w:tplc="6FD47E28">
      <w:start w:val="1"/>
      <w:numFmt w:val="lowerLetter"/>
      <w:lvlText w:val="%5."/>
      <w:lvlJc w:val="left"/>
      <w:pPr>
        <w:ind w:left="6908" w:hanging="360"/>
      </w:pPr>
    </w:lvl>
    <w:lvl w:ilvl="5" w:tplc="54FA5250">
      <w:start w:val="1"/>
      <w:numFmt w:val="lowerRoman"/>
      <w:lvlText w:val="%6."/>
      <w:lvlJc w:val="right"/>
      <w:pPr>
        <w:ind w:left="7628" w:hanging="180"/>
      </w:pPr>
    </w:lvl>
    <w:lvl w:ilvl="6" w:tplc="4FC6C318">
      <w:start w:val="1"/>
      <w:numFmt w:val="decimal"/>
      <w:lvlText w:val="%7."/>
      <w:lvlJc w:val="left"/>
      <w:pPr>
        <w:ind w:left="8348" w:hanging="360"/>
      </w:pPr>
    </w:lvl>
    <w:lvl w:ilvl="7" w:tplc="07CC74FE">
      <w:start w:val="1"/>
      <w:numFmt w:val="lowerLetter"/>
      <w:lvlText w:val="%8."/>
      <w:lvlJc w:val="left"/>
      <w:pPr>
        <w:ind w:left="9068" w:hanging="360"/>
      </w:pPr>
    </w:lvl>
    <w:lvl w:ilvl="8" w:tplc="CBD8C410">
      <w:start w:val="1"/>
      <w:numFmt w:val="lowerRoman"/>
      <w:lvlText w:val="%9."/>
      <w:lvlJc w:val="right"/>
      <w:pPr>
        <w:ind w:left="9788" w:hanging="180"/>
      </w:pPr>
    </w:lvl>
  </w:abstractNum>
  <w:num w:numId="1" w16cid:durableId="6896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2439B"/>
    <w:rsid w:val="000547FC"/>
    <w:rsid w:val="001C5D83"/>
    <w:rsid w:val="002A3502"/>
    <w:rsid w:val="002B2E4C"/>
    <w:rsid w:val="003F79A8"/>
    <w:rsid w:val="00461E4C"/>
    <w:rsid w:val="004715CC"/>
    <w:rsid w:val="004A1B80"/>
    <w:rsid w:val="005E356B"/>
    <w:rsid w:val="00682450"/>
    <w:rsid w:val="00691C39"/>
    <w:rsid w:val="006E2FEA"/>
    <w:rsid w:val="00742A4A"/>
    <w:rsid w:val="00857036"/>
    <w:rsid w:val="00A06F0B"/>
    <w:rsid w:val="00BEB705"/>
    <w:rsid w:val="00BF7B89"/>
    <w:rsid w:val="00D8768E"/>
    <w:rsid w:val="00DE722C"/>
    <w:rsid w:val="00E300AD"/>
    <w:rsid w:val="00EC1008"/>
    <w:rsid w:val="00ED26B0"/>
    <w:rsid w:val="00EF61AC"/>
    <w:rsid w:val="016A53B5"/>
    <w:rsid w:val="02C5219A"/>
    <w:rsid w:val="03847156"/>
    <w:rsid w:val="04FE8A18"/>
    <w:rsid w:val="06AB7193"/>
    <w:rsid w:val="07AF544B"/>
    <w:rsid w:val="07B0DB23"/>
    <w:rsid w:val="0893D0F4"/>
    <w:rsid w:val="093523F5"/>
    <w:rsid w:val="094569DA"/>
    <w:rsid w:val="09DEAAFA"/>
    <w:rsid w:val="0AAD810A"/>
    <w:rsid w:val="0ABB82B9"/>
    <w:rsid w:val="0AD91A60"/>
    <w:rsid w:val="0BA8A1D3"/>
    <w:rsid w:val="0BBB1DB9"/>
    <w:rsid w:val="0CD7E5D0"/>
    <w:rsid w:val="0D71B392"/>
    <w:rsid w:val="0ED243E2"/>
    <w:rsid w:val="0ED3D6B2"/>
    <w:rsid w:val="0F9ABC6C"/>
    <w:rsid w:val="0FBAFF4D"/>
    <w:rsid w:val="11AC26EC"/>
    <w:rsid w:val="12840E69"/>
    <w:rsid w:val="13E671DA"/>
    <w:rsid w:val="143C2853"/>
    <w:rsid w:val="144FAEE6"/>
    <w:rsid w:val="1616537F"/>
    <w:rsid w:val="172AEDDD"/>
    <w:rsid w:val="1940880E"/>
    <w:rsid w:val="1A2AB4B9"/>
    <w:rsid w:val="1BD5983E"/>
    <w:rsid w:val="1C2651BC"/>
    <w:rsid w:val="1CA4E3FB"/>
    <w:rsid w:val="1D345A6B"/>
    <w:rsid w:val="1D560878"/>
    <w:rsid w:val="1DAEE557"/>
    <w:rsid w:val="1DB6388F"/>
    <w:rsid w:val="1DD6A272"/>
    <w:rsid w:val="1E9CED15"/>
    <w:rsid w:val="1F2A391D"/>
    <w:rsid w:val="1F997DA2"/>
    <w:rsid w:val="1FDCC22C"/>
    <w:rsid w:val="1FF482AC"/>
    <w:rsid w:val="1FF51548"/>
    <w:rsid w:val="20B33428"/>
    <w:rsid w:val="2124245B"/>
    <w:rsid w:val="213FC07A"/>
    <w:rsid w:val="2194A34E"/>
    <w:rsid w:val="22014D99"/>
    <w:rsid w:val="2359DF73"/>
    <w:rsid w:val="23708445"/>
    <w:rsid w:val="242D0AFD"/>
    <w:rsid w:val="24B372C9"/>
    <w:rsid w:val="256518F5"/>
    <w:rsid w:val="2659C350"/>
    <w:rsid w:val="27B5C543"/>
    <w:rsid w:val="27CB9381"/>
    <w:rsid w:val="294DB220"/>
    <w:rsid w:val="2A0BF8BE"/>
    <w:rsid w:val="2A324C8C"/>
    <w:rsid w:val="2A6A18C8"/>
    <w:rsid w:val="2AA7F143"/>
    <w:rsid w:val="2B76B7D6"/>
    <w:rsid w:val="2BCC4077"/>
    <w:rsid w:val="2C9BD0A8"/>
    <w:rsid w:val="2CBD3AF0"/>
    <w:rsid w:val="2CCCA67E"/>
    <w:rsid w:val="2D045AF7"/>
    <w:rsid w:val="2D9B92D8"/>
    <w:rsid w:val="2DD3D2B0"/>
    <w:rsid w:val="2E154BAC"/>
    <w:rsid w:val="2E3C671F"/>
    <w:rsid w:val="2E510CAE"/>
    <w:rsid w:val="2EA02125"/>
    <w:rsid w:val="2EE092AE"/>
    <w:rsid w:val="2F7E54B7"/>
    <w:rsid w:val="2FAC9A75"/>
    <w:rsid w:val="305F6916"/>
    <w:rsid w:val="30EAF789"/>
    <w:rsid w:val="318D1558"/>
    <w:rsid w:val="321CFD02"/>
    <w:rsid w:val="32AE6B73"/>
    <w:rsid w:val="32D4B324"/>
    <w:rsid w:val="34CDC26A"/>
    <w:rsid w:val="35497E95"/>
    <w:rsid w:val="3587F15E"/>
    <w:rsid w:val="35BEE6D0"/>
    <w:rsid w:val="362B9147"/>
    <w:rsid w:val="3676E727"/>
    <w:rsid w:val="3749EDDA"/>
    <w:rsid w:val="388EA605"/>
    <w:rsid w:val="39FB2EE7"/>
    <w:rsid w:val="3A3747F0"/>
    <w:rsid w:val="3AC54266"/>
    <w:rsid w:val="3B2C6B80"/>
    <w:rsid w:val="3D1C0354"/>
    <w:rsid w:val="3D56CBFD"/>
    <w:rsid w:val="3D6802E9"/>
    <w:rsid w:val="3E1CB98E"/>
    <w:rsid w:val="3F1A0C27"/>
    <w:rsid w:val="41376CE9"/>
    <w:rsid w:val="4571D9AE"/>
    <w:rsid w:val="45C35C39"/>
    <w:rsid w:val="45EF98F2"/>
    <w:rsid w:val="466F34A0"/>
    <w:rsid w:val="46B79B6A"/>
    <w:rsid w:val="47ED16FB"/>
    <w:rsid w:val="487D54BC"/>
    <w:rsid w:val="48E60EDD"/>
    <w:rsid w:val="48FBACB8"/>
    <w:rsid w:val="491E9F25"/>
    <w:rsid w:val="4933A833"/>
    <w:rsid w:val="4953BB5A"/>
    <w:rsid w:val="4968F4CB"/>
    <w:rsid w:val="4BF30805"/>
    <w:rsid w:val="4C06FCC5"/>
    <w:rsid w:val="4C3D2012"/>
    <w:rsid w:val="4D369DAF"/>
    <w:rsid w:val="4D72CBEF"/>
    <w:rsid w:val="4D893026"/>
    <w:rsid w:val="4DEBC8C4"/>
    <w:rsid w:val="4ECE2C1E"/>
    <w:rsid w:val="4FAB2C5E"/>
    <w:rsid w:val="503EA2AE"/>
    <w:rsid w:val="5090AD69"/>
    <w:rsid w:val="50D18F29"/>
    <w:rsid w:val="511C5428"/>
    <w:rsid w:val="51EB4BD4"/>
    <w:rsid w:val="52FC752B"/>
    <w:rsid w:val="53CA8A71"/>
    <w:rsid w:val="54538E72"/>
    <w:rsid w:val="546AA8DA"/>
    <w:rsid w:val="5474A642"/>
    <w:rsid w:val="54BEE3A6"/>
    <w:rsid w:val="54E61149"/>
    <w:rsid w:val="5601E5C3"/>
    <w:rsid w:val="564CB034"/>
    <w:rsid w:val="56760C69"/>
    <w:rsid w:val="56EB57AB"/>
    <w:rsid w:val="5862A5B9"/>
    <w:rsid w:val="595ECF8D"/>
    <w:rsid w:val="59A819FC"/>
    <w:rsid w:val="59AB639F"/>
    <w:rsid w:val="59BB93A9"/>
    <w:rsid w:val="5A1A5102"/>
    <w:rsid w:val="5A78473F"/>
    <w:rsid w:val="5B048471"/>
    <w:rsid w:val="5B86F351"/>
    <w:rsid w:val="5CAAC3E0"/>
    <w:rsid w:val="5CF50DBC"/>
    <w:rsid w:val="5E1D6CCC"/>
    <w:rsid w:val="5F46DBBA"/>
    <w:rsid w:val="60E96FAF"/>
    <w:rsid w:val="6193C8FD"/>
    <w:rsid w:val="62C40192"/>
    <w:rsid w:val="630CD339"/>
    <w:rsid w:val="63C7B526"/>
    <w:rsid w:val="63DD298B"/>
    <w:rsid w:val="63F91F9C"/>
    <w:rsid w:val="65AF507F"/>
    <w:rsid w:val="65EFB090"/>
    <w:rsid w:val="66665984"/>
    <w:rsid w:val="676EB124"/>
    <w:rsid w:val="6780364E"/>
    <w:rsid w:val="67BD0FFE"/>
    <w:rsid w:val="691816AB"/>
    <w:rsid w:val="694FADE3"/>
    <w:rsid w:val="69AAA737"/>
    <w:rsid w:val="69C7E2CB"/>
    <w:rsid w:val="6A8985A3"/>
    <w:rsid w:val="6AA05FE6"/>
    <w:rsid w:val="6B541A3C"/>
    <w:rsid w:val="6B59FB38"/>
    <w:rsid w:val="6CE12E0A"/>
    <w:rsid w:val="6D906677"/>
    <w:rsid w:val="6E34C0C8"/>
    <w:rsid w:val="6E74EF49"/>
    <w:rsid w:val="6EE570BA"/>
    <w:rsid w:val="6FE3629B"/>
    <w:rsid w:val="700EA226"/>
    <w:rsid w:val="70A59EE5"/>
    <w:rsid w:val="71C58DE0"/>
    <w:rsid w:val="7294295B"/>
    <w:rsid w:val="73FE1230"/>
    <w:rsid w:val="746D9245"/>
    <w:rsid w:val="7489EEE7"/>
    <w:rsid w:val="74BCDDB2"/>
    <w:rsid w:val="758F08A1"/>
    <w:rsid w:val="76059339"/>
    <w:rsid w:val="77803B3D"/>
    <w:rsid w:val="779F6940"/>
    <w:rsid w:val="77D98FC8"/>
    <w:rsid w:val="780D5AB5"/>
    <w:rsid w:val="792C89D7"/>
    <w:rsid w:val="79D1AD01"/>
    <w:rsid w:val="7AB3A76A"/>
    <w:rsid w:val="7AF4DDD3"/>
    <w:rsid w:val="7B5CCE40"/>
    <w:rsid w:val="7BB41C82"/>
    <w:rsid w:val="7C51EF97"/>
    <w:rsid w:val="7C5630DA"/>
    <w:rsid w:val="7DA827A4"/>
    <w:rsid w:val="7DBBFE83"/>
    <w:rsid w:val="7EC85450"/>
    <w:rsid w:val="7F839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6B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6B0"/>
    <w:rPr>
      <w:rFonts w:ascii="Calibri" w:eastAsia="Calibri" w:hAnsi="Calibri" w:cs="Calibri"/>
      <w:b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6B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6B0"/>
    <w:rPr>
      <w:rFonts w:ascii="Calibri" w:eastAsia="Calibri" w:hAnsi="Calibri" w:cs="Calibri"/>
      <w:b/>
      <w:bCs/>
      <w:color w:val="000000"/>
      <w:sz w:val="20"/>
      <w:szCs w:val="2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10. Zasady prowadzenia działalności lotniczej w Polsce</dc:title>
  <dc:subject>Projekt pn. „Administrowanie przestrzenią powietrzną przyszłości – edukacja poprzez symulację i praktykę na potrzeby gospodarki przyszłości”</dc:subject>
  <dc:creator>Rada Praktyków Biznesu i Dydaktyków</dc:creator>
  <cp:keywords>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19</cp:revision>
  <dcterms:created xsi:type="dcterms:W3CDTF">2025-06-16T09:08:00Z</dcterms:created>
  <dcterms:modified xsi:type="dcterms:W3CDTF">2025-07-18T07:13:00Z</dcterms:modified>
  <cp:category>Produkt Projektu o numerze FERS.01.05-IP.08-0263/23</cp:category>
</cp:coreProperties>
</file>