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6777D" w14:textId="77777777" w:rsidR="004715CC" w:rsidRPr="00C32ACC" w:rsidRDefault="004715CC" w:rsidP="004715CC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color w:val="auto"/>
          <w:kern w:val="0"/>
          <w:sz w:val="24"/>
          <w:lang w:eastAsia="x-none" w:bidi="ar-SA"/>
          <w14:ligatures w14:val="none"/>
        </w:rPr>
      </w:pPr>
      <w:r w:rsidRPr="00C32ACC">
        <w:rPr>
          <w:rFonts w:eastAsia="Times New Roman"/>
          <w:b w:val="0"/>
          <w:noProof/>
          <w:color w:val="auto"/>
          <w:kern w:val="0"/>
          <w:sz w:val="24"/>
          <w:lang w:val="x-none" w:bidi="ar-SA"/>
          <w14:ligatures w14:val="none"/>
        </w:rPr>
        <w:drawing>
          <wp:inline distT="0" distB="0" distL="0" distR="0" wp14:anchorId="5338EBC7" wp14:editId="49BA0FB4">
            <wp:extent cx="5759450" cy="794210"/>
            <wp:effectExtent l="0" t="0" r="0" b="6350"/>
            <wp:doc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9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2E108" w14:textId="77777777" w:rsidR="004715CC" w:rsidRPr="00C32ACC" w:rsidRDefault="004715CC" w:rsidP="004715CC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b w:val="0"/>
          <w:color w:val="auto"/>
          <w:kern w:val="0"/>
          <w:sz w:val="24"/>
          <w:lang w:bidi="ar-SA"/>
          <w14:ligatures w14:val="none"/>
        </w:rPr>
      </w:pPr>
    </w:p>
    <w:p w14:paraId="443FDBF4" w14:textId="77777777" w:rsidR="004715CC" w:rsidRPr="00C32ACC" w:rsidRDefault="004715CC" w:rsidP="004715CC">
      <w:pPr>
        <w:spacing w:after="120" w:line="276" w:lineRule="auto"/>
        <w:ind w:left="0"/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C32ACC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Produkt projektu pn. „Administrowanie przestrzenią powietrzną PRZYSZŁOŚCI – edukacja poprzez symulację i praktykę na potrzeby gospodarki przyszłości”. Projekt realizowany jest w ramach programu Fundusze Europejskie dla Rozwoju Społecznego 2021-2027 współfinansowanego ze środków Europejskiego Funduszu Społecznego Plus.</w:t>
      </w:r>
    </w:p>
    <w:p w14:paraId="1480F9E5" w14:textId="67595A15" w:rsidR="00ED26B0" w:rsidRPr="00C32ACC" w:rsidRDefault="00ED26B0" w:rsidP="004715CC">
      <w:pPr>
        <w:spacing w:line="276" w:lineRule="auto"/>
        <w:ind w:left="0"/>
        <w:rPr>
          <w:b w:val="0"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C32ACC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Imię i nazwisko współtwórców: Michał Witkowski, Piotr Czech, Jerzy Baumann, Bartosz </w:t>
      </w:r>
      <w:proofErr w:type="spellStart"/>
      <w:r w:rsidRPr="00C32ACC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Supernat</w:t>
      </w:r>
      <w:proofErr w:type="spellEnd"/>
      <w:r w:rsidRPr="00C32ACC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, Anna </w:t>
      </w:r>
      <w:proofErr w:type="spellStart"/>
      <w:r w:rsidRPr="00C32ACC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Konert</w:t>
      </w:r>
      <w:proofErr w:type="spellEnd"/>
      <w:r w:rsidRPr="00C32ACC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, Mateusz Osiecki, Agnieszka Fortońska</w:t>
      </w:r>
    </w:p>
    <w:p w14:paraId="71393A02" w14:textId="07FD1E53" w:rsidR="004715CC" w:rsidRPr="00C32ACC" w:rsidRDefault="004715CC" w:rsidP="004715CC">
      <w:pPr>
        <w:spacing w:line="276" w:lineRule="auto"/>
        <w:ind w:left="0"/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C32ACC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Miejscowość:</w:t>
      </w:r>
      <w:r w:rsidRPr="00C32ACC">
        <w:rPr>
          <w:bCs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 </w:t>
      </w:r>
      <w:r w:rsidRPr="00C32ACC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Warszawa</w:t>
      </w:r>
    </w:p>
    <w:p w14:paraId="3B735963" w14:textId="2B0B07E6" w:rsidR="004715CC" w:rsidRPr="00C32ACC" w:rsidRDefault="004715CC" w:rsidP="305F6916">
      <w:pPr>
        <w:spacing w:after="120" w:line="276" w:lineRule="auto"/>
        <w:ind w:left="0"/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C32ACC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Data: </w:t>
      </w:r>
      <w:r w:rsidR="00682450" w:rsidRPr="00C32ACC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16</w:t>
      </w:r>
      <w:r w:rsidRPr="00C32ACC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.06.2025</w:t>
      </w:r>
    </w:p>
    <w:p w14:paraId="6D6278AE" w14:textId="07E8936D" w:rsidR="004715CC" w:rsidRPr="00C32ACC" w:rsidRDefault="004715CC" w:rsidP="305F6916">
      <w:pPr>
        <w:pStyle w:val="Nagwek3"/>
        <w:ind w:left="0"/>
        <w:rPr>
          <w:rFonts w:ascii="Calibri" w:hAnsi="Calibri" w:cs="Calibri"/>
          <w:color w:val="000000" w:themeColor="text1"/>
          <w:lang w:eastAsia="en-US" w:bidi="ar-SA"/>
        </w:rPr>
      </w:pPr>
      <w:r w:rsidRPr="00C32ACC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>Sylabus</w:t>
      </w:r>
      <w:r w:rsidR="00ED26B0" w:rsidRPr="00C32ACC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 xml:space="preserve"> nr </w:t>
      </w:r>
      <w:r w:rsidR="005D73F0" w:rsidRPr="00C32ACC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>6</w:t>
      </w:r>
      <w:r w:rsidR="09DEAAFA" w:rsidRPr="00C32ACC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 xml:space="preserve">: </w:t>
      </w:r>
      <w:r w:rsidR="00D316FA" w:rsidRPr="00C32ACC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>Regulacje prawne dot. bezpieczeństwa w lotnictwie cywilnym</w:t>
      </w:r>
    </w:p>
    <w:p w14:paraId="74DBFA36" w14:textId="77777777" w:rsidR="004715CC" w:rsidRPr="00C32ACC" w:rsidRDefault="004715CC">
      <w:pPr>
        <w:rPr>
          <w:sz w:val="24"/>
        </w:rPr>
      </w:pPr>
    </w:p>
    <w:p w14:paraId="6C2FA75E" w14:textId="648F9F37" w:rsidR="00DE722C" w:rsidRPr="00C32ACC" w:rsidRDefault="004715CC" w:rsidP="004715CC">
      <w:pPr>
        <w:spacing w:line="276" w:lineRule="auto"/>
        <w:jc w:val="both"/>
        <w:rPr>
          <w:sz w:val="24"/>
        </w:rPr>
      </w:pPr>
      <w:r w:rsidRPr="00C32ACC">
        <w:rPr>
          <w:sz w:val="24"/>
        </w:rPr>
        <w:t>Uczelnia Łazarskiego</w:t>
      </w:r>
    </w:p>
    <w:tbl>
      <w:tblPr>
        <w:tblStyle w:val="TableGrid"/>
        <w:tblW w:w="10772" w:type="dxa"/>
        <w:tblInd w:w="-872" w:type="dxa"/>
        <w:tblCellMar>
          <w:top w:w="95" w:type="dxa"/>
          <w:left w:w="52" w:type="dxa"/>
          <w:right w:w="76" w:type="dxa"/>
        </w:tblCellMar>
        <w:tblLook w:val="04A0" w:firstRow="1" w:lastRow="0" w:firstColumn="1" w:lastColumn="0" w:noHBand="0" w:noVBand="1"/>
      </w:tblPr>
      <w:tblGrid>
        <w:gridCol w:w="568"/>
        <w:gridCol w:w="2430"/>
        <w:gridCol w:w="2326"/>
        <w:gridCol w:w="2604"/>
        <w:gridCol w:w="2844"/>
      </w:tblGrid>
      <w:tr w:rsidR="00DE722C" w:rsidRPr="00C32ACC" w14:paraId="2DA61C96" w14:textId="77777777" w:rsidTr="6F749F37">
        <w:trPr>
          <w:trHeight w:val="451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B34A4E0" w14:textId="77777777" w:rsidR="00DE722C" w:rsidRPr="00C32ACC" w:rsidRDefault="004715CC" w:rsidP="004715CC">
            <w:pPr>
              <w:spacing w:line="276" w:lineRule="auto"/>
              <w:ind w:left="80"/>
              <w:rPr>
                <w:sz w:val="24"/>
              </w:rPr>
            </w:pPr>
            <w:r w:rsidRPr="00C32ACC">
              <w:rPr>
                <w:sz w:val="24"/>
              </w:rPr>
              <w:t>Wydział Prawa i Administracji</w:t>
            </w:r>
          </w:p>
        </w:tc>
      </w:tr>
      <w:tr w:rsidR="00DE722C" w:rsidRPr="00C32ACC" w14:paraId="13738F12" w14:textId="77777777" w:rsidTr="6F749F37">
        <w:trPr>
          <w:trHeight w:val="458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8A38008" w14:textId="77777777" w:rsidR="00DE722C" w:rsidRPr="00C32ACC" w:rsidRDefault="004715CC" w:rsidP="004715CC">
            <w:pPr>
              <w:spacing w:line="276" w:lineRule="auto"/>
              <w:ind w:left="44"/>
              <w:rPr>
                <w:sz w:val="24"/>
              </w:rPr>
            </w:pPr>
            <w:r w:rsidRPr="00C32ACC">
              <w:rPr>
                <w:sz w:val="24"/>
              </w:rPr>
              <w:t xml:space="preserve">Administracja, profil </w:t>
            </w:r>
            <w:proofErr w:type="spellStart"/>
            <w:r w:rsidRPr="00C32ACC">
              <w:rPr>
                <w:sz w:val="24"/>
              </w:rPr>
              <w:t>ogólnoakademicki</w:t>
            </w:r>
            <w:proofErr w:type="spellEnd"/>
            <w:r w:rsidRPr="00C32ACC">
              <w:rPr>
                <w:sz w:val="24"/>
              </w:rPr>
              <w:t xml:space="preserve"> </w:t>
            </w:r>
          </w:p>
        </w:tc>
      </w:tr>
      <w:tr w:rsidR="00DE722C" w:rsidRPr="00C32ACC" w14:paraId="590EE99D" w14:textId="77777777" w:rsidTr="6F749F37">
        <w:trPr>
          <w:trHeight w:val="45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344690C" w14:textId="77777777" w:rsidR="00DE722C" w:rsidRPr="00C32ACC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C32ACC">
              <w:rPr>
                <w:sz w:val="24"/>
              </w:rPr>
              <w:t>Nazwa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EEE96" w14:textId="2498CD05" w:rsidR="00DE722C" w:rsidRPr="00C32ACC" w:rsidRDefault="50F86D72" w:rsidP="571F2BA6">
            <w:pPr>
              <w:spacing w:line="276" w:lineRule="auto"/>
              <w:ind w:left="62"/>
              <w:rPr>
                <w:sz w:val="24"/>
              </w:rPr>
            </w:pPr>
            <w:r w:rsidRPr="00C32ACC">
              <w:rPr>
                <w:b w:val="0"/>
                <w:sz w:val="24"/>
              </w:rPr>
              <w:t>P.AD.LN.SW08</w:t>
            </w:r>
            <w:r w:rsidR="004715CC" w:rsidRPr="00C32ACC">
              <w:rPr>
                <w:b w:val="0"/>
                <w:sz w:val="24"/>
              </w:rPr>
              <w:t xml:space="preserve"> </w:t>
            </w:r>
            <w:r w:rsidR="006E2FEA" w:rsidRPr="00C32ACC">
              <w:rPr>
                <w:b w:val="0"/>
                <w:sz w:val="24"/>
              </w:rPr>
              <w:t>–</w:t>
            </w:r>
            <w:r w:rsidR="004715CC" w:rsidRPr="00C32ACC">
              <w:rPr>
                <w:b w:val="0"/>
                <w:sz w:val="24"/>
              </w:rPr>
              <w:t xml:space="preserve"> </w:t>
            </w:r>
            <w:r w:rsidR="00D316FA" w:rsidRPr="00C32ACC">
              <w:rPr>
                <w:b w:val="0"/>
                <w:sz w:val="24"/>
              </w:rPr>
              <w:t>Regulacje prawne dot. bezpieczeństwa w lotnictwie cywilnym</w:t>
            </w:r>
          </w:p>
          <w:p w14:paraId="027EE474" w14:textId="08CB864F" w:rsidR="00DE722C" w:rsidRPr="00C32ACC" w:rsidRDefault="00DE722C" w:rsidP="305F6916">
            <w:pPr>
              <w:spacing w:line="276" w:lineRule="auto"/>
              <w:ind w:left="0"/>
              <w:rPr>
                <w:b w:val="0"/>
                <w:sz w:val="24"/>
              </w:rPr>
            </w:pPr>
          </w:p>
        </w:tc>
      </w:tr>
      <w:tr w:rsidR="00DE722C" w:rsidRPr="00C32ACC" w14:paraId="32A7B3FC" w14:textId="77777777" w:rsidTr="6F749F37">
        <w:trPr>
          <w:trHeight w:val="45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C252413" w14:textId="77777777" w:rsidR="00DE722C" w:rsidRPr="00C32ACC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C32ACC">
              <w:rPr>
                <w:sz w:val="24"/>
              </w:rPr>
              <w:t>Forma zajęć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E5B6EF" w14:textId="77777777" w:rsidR="00DE722C" w:rsidRPr="00C32ACC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C32ACC">
              <w:rPr>
                <w:b w:val="0"/>
                <w:sz w:val="24"/>
              </w:rPr>
              <w:t>Konwersatorium</w:t>
            </w:r>
          </w:p>
        </w:tc>
      </w:tr>
      <w:tr w:rsidR="00DE722C" w:rsidRPr="00C32ACC" w14:paraId="36107EF5" w14:textId="77777777" w:rsidTr="6F749F37">
        <w:trPr>
          <w:trHeight w:val="46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6B0971F" w14:textId="77777777" w:rsidR="00DE722C" w:rsidRPr="00C32ACC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C32ACC">
              <w:rPr>
                <w:sz w:val="24"/>
              </w:rPr>
              <w:t>Status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A27288" w14:textId="2A941144" w:rsidR="00DE722C" w:rsidRPr="00C32ACC" w:rsidRDefault="002A3502" w:rsidP="004715CC">
            <w:pPr>
              <w:spacing w:line="276" w:lineRule="auto"/>
              <w:ind w:left="62"/>
              <w:rPr>
                <w:sz w:val="24"/>
              </w:rPr>
            </w:pPr>
            <w:r w:rsidRPr="00C32ACC">
              <w:rPr>
                <w:b w:val="0"/>
                <w:sz w:val="24"/>
              </w:rPr>
              <w:t>Specjalizacyjny</w:t>
            </w:r>
          </w:p>
        </w:tc>
      </w:tr>
      <w:tr w:rsidR="00DE722C" w:rsidRPr="00C32ACC" w14:paraId="6FD48715" w14:textId="77777777" w:rsidTr="6F749F37">
        <w:trPr>
          <w:trHeight w:val="73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1E355A5" w14:textId="77777777" w:rsidR="00DE722C" w:rsidRPr="00C32ACC" w:rsidRDefault="004715CC" w:rsidP="004715CC">
            <w:pPr>
              <w:spacing w:after="93" w:line="276" w:lineRule="auto"/>
              <w:ind w:left="58"/>
              <w:rPr>
                <w:sz w:val="24"/>
              </w:rPr>
            </w:pPr>
            <w:r w:rsidRPr="00C32ACC">
              <w:rPr>
                <w:sz w:val="24"/>
              </w:rPr>
              <w:t>Rok studiów</w:t>
            </w:r>
          </w:p>
          <w:p w14:paraId="79597035" w14:textId="77777777" w:rsidR="00DE722C" w:rsidRPr="00C32ACC" w:rsidRDefault="004715CC" w:rsidP="004715CC">
            <w:pPr>
              <w:spacing w:line="276" w:lineRule="auto"/>
              <w:ind w:left="58"/>
              <w:rPr>
                <w:sz w:val="24"/>
              </w:rPr>
            </w:pPr>
            <w:r w:rsidRPr="00C32ACC">
              <w:rPr>
                <w:sz w:val="24"/>
              </w:rPr>
              <w:t xml:space="preserve">Semestr realizacji 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329637" w14:textId="6A933790" w:rsidR="00DE722C" w:rsidRPr="00C32ACC" w:rsidRDefault="004715CC" w:rsidP="305F6916">
            <w:pPr>
              <w:spacing w:after="93" w:line="276" w:lineRule="auto"/>
              <w:ind w:left="60"/>
              <w:rPr>
                <w:sz w:val="24"/>
              </w:rPr>
            </w:pPr>
            <w:r w:rsidRPr="00C32ACC">
              <w:rPr>
                <w:b w:val="0"/>
                <w:sz w:val="24"/>
              </w:rPr>
              <w:t xml:space="preserve">Rok </w:t>
            </w:r>
            <w:r w:rsidR="00D316FA" w:rsidRPr="00C32ACC">
              <w:rPr>
                <w:b w:val="0"/>
                <w:sz w:val="24"/>
              </w:rPr>
              <w:t>2</w:t>
            </w:r>
          </w:p>
          <w:p w14:paraId="6AB9AAA6" w14:textId="73975978" w:rsidR="00DE722C" w:rsidRPr="00C32ACC" w:rsidRDefault="002A3502" w:rsidP="305F6916">
            <w:pPr>
              <w:spacing w:line="276" w:lineRule="auto"/>
              <w:ind w:left="60"/>
              <w:rPr>
                <w:b w:val="0"/>
                <w:sz w:val="24"/>
              </w:rPr>
            </w:pPr>
            <w:r w:rsidRPr="00C32ACC">
              <w:rPr>
                <w:b w:val="0"/>
                <w:sz w:val="24"/>
              </w:rPr>
              <w:t>II</w:t>
            </w:r>
            <w:r w:rsidR="00D316FA" w:rsidRPr="00C32ACC">
              <w:rPr>
                <w:b w:val="0"/>
                <w:sz w:val="24"/>
              </w:rPr>
              <w:t>I</w:t>
            </w:r>
          </w:p>
        </w:tc>
      </w:tr>
      <w:tr w:rsidR="00DE722C" w:rsidRPr="00C32ACC" w14:paraId="00B637AE" w14:textId="77777777" w:rsidTr="6F749F37">
        <w:trPr>
          <w:trHeight w:val="73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474F163B" w14:textId="77777777" w:rsidR="00DE722C" w:rsidRPr="00C32ACC" w:rsidRDefault="004715CC" w:rsidP="004715CC">
            <w:pPr>
              <w:spacing w:after="95" w:line="276" w:lineRule="auto"/>
              <w:ind w:left="58"/>
              <w:rPr>
                <w:sz w:val="24"/>
              </w:rPr>
            </w:pPr>
            <w:r w:rsidRPr="00C32ACC">
              <w:rPr>
                <w:sz w:val="24"/>
              </w:rPr>
              <w:t>Stopień studiów</w:t>
            </w:r>
          </w:p>
          <w:p w14:paraId="4014BAF6" w14:textId="77777777" w:rsidR="00DE722C" w:rsidRPr="00C32ACC" w:rsidRDefault="004715CC" w:rsidP="004715CC">
            <w:pPr>
              <w:spacing w:line="276" w:lineRule="auto"/>
              <w:ind w:left="58"/>
              <w:rPr>
                <w:sz w:val="24"/>
              </w:rPr>
            </w:pPr>
            <w:r w:rsidRPr="00C32ACC">
              <w:rPr>
                <w:sz w:val="24"/>
              </w:rPr>
              <w:t>Tryb studiów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554DEC" w14:textId="77777777" w:rsidR="00DE722C" w:rsidRPr="00C32ACC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C32ACC">
              <w:rPr>
                <w:b w:val="0"/>
                <w:sz w:val="24"/>
              </w:rPr>
              <w:t xml:space="preserve">Studia pierwszego stopnia </w:t>
            </w:r>
          </w:p>
          <w:p w14:paraId="419B5FC7" w14:textId="77777777" w:rsidR="00DE722C" w:rsidRPr="00C32ACC" w:rsidRDefault="004715CC" w:rsidP="004715CC">
            <w:pPr>
              <w:spacing w:line="276" w:lineRule="auto"/>
              <w:ind w:left="60"/>
              <w:rPr>
                <w:sz w:val="24"/>
              </w:rPr>
            </w:pPr>
            <w:r w:rsidRPr="00C32ACC">
              <w:rPr>
                <w:b w:val="0"/>
                <w:sz w:val="24"/>
              </w:rPr>
              <w:t xml:space="preserve">Niestacjonarne </w:t>
            </w:r>
          </w:p>
        </w:tc>
      </w:tr>
      <w:tr w:rsidR="00DE722C" w:rsidRPr="00C32ACC" w14:paraId="179079D9" w14:textId="77777777" w:rsidTr="6F749F37">
        <w:trPr>
          <w:trHeight w:val="44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982AE47" w14:textId="77777777" w:rsidR="00DE722C" w:rsidRPr="00C32ACC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C32ACC">
              <w:rPr>
                <w:sz w:val="24"/>
              </w:rPr>
              <w:t>Wymagania wstępne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4D01B" w14:textId="6FEF43DD" w:rsidR="00DE722C" w:rsidRPr="00C32ACC" w:rsidRDefault="00D316FA" w:rsidP="004715CC">
            <w:pPr>
              <w:spacing w:after="160" w:line="276" w:lineRule="auto"/>
              <w:ind w:left="0"/>
              <w:rPr>
                <w:b w:val="0"/>
                <w:bCs/>
                <w:sz w:val="24"/>
              </w:rPr>
            </w:pPr>
            <w:r w:rsidRPr="00C32ACC">
              <w:rPr>
                <w:b w:val="0"/>
                <w:bCs/>
                <w:sz w:val="24"/>
              </w:rPr>
              <w:t>Prawoznawstwo</w:t>
            </w:r>
          </w:p>
        </w:tc>
      </w:tr>
      <w:tr w:rsidR="00DE722C" w:rsidRPr="00C32ACC" w14:paraId="215DA417" w14:textId="77777777" w:rsidTr="6F749F37">
        <w:trPr>
          <w:trHeight w:val="442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C9F2BBD" w14:textId="77777777" w:rsidR="00DE722C" w:rsidRPr="00C32ACC" w:rsidRDefault="004715CC" w:rsidP="004715CC">
            <w:pPr>
              <w:spacing w:line="276" w:lineRule="auto"/>
              <w:ind w:left="82"/>
              <w:rPr>
                <w:sz w:val="24"/>
              </w:rPr>
            </w:pPr>
            <w:r w:rsidRPr="00C32ACC">
              <w:rPr>
                <w:sz w:val="24"/>
              </w:rPr>
              <w:t>Cele przedmiotu</w:t>
            </w:r>
          </w:p>
        </w:tc>
      </w:tr>
      <w:tr w:rsidR="00DE722C" w:rsidRPr="00C32ACC" w14:paraId="2C4D6E1C" w14:textId="77777777" w:rsidTr="6F749F37">
        <w:trPr>
          <w:trHeight w:val="1036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EFE2C3" w14:textId="77777777" w:rsidR="00D316FA" w:rsidRPr="00C32ACC" w:rsidRDefault="00D316FA" w:rsidP="00D316FA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C32ACC">
              <w:rPr>
                <w:b w:val="0"/>
                <w:bCs/>
                <w:sz w:val="24"/>
              </w:rPr>
              <w:t>Celem i założeniem zajęć  jest zapoznanie studentów z mechanizmami prawnymi i instytucjonalnymi zapewniającymi wysoki poziom bezpieczeństwa w lotnictwie na każdym szczeblu (międzynarodowym, europejskim i krajowym) a także ochronę lotnictwa cywilnego.</w:t>
            </w:r>
          </w:p>
          <w:p w14:paraId="0CDB06C5" w14:textId="77777777" w:rsidR="00D316FA" w:rsidRPr="00C32ACC" w:rsidRDefault="00D316FA" w:rsidP="00D316FA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C32ACC">
              <w:rPr>
                <w:b w:val="0"/>
                <w:bCs/>
                <w:sz w:val="24"/>
              </w:rPr>
              <w:t>Celem i założeniem zajęć jest poznanie programów bezpieczeństwa unijnych i krajowych.</w:t>
            </w:r>
          </w:p>
          <w:p w14:paraId="37B16A72" w14:textId="499F6252" w:rsidR="00DE722C" w:rsidRPr="00C32ACC" w:rsidRDefault="00D316FA" w:rsidP="00D316FA">
            <w:pPr>
              <w:spacing w:line="276" w:lineRule="auto"/>
              <w:ind w:left="0"/>
              <w:rPr>
                <w:sz w:val="24"/>
              </w:rPr>
            </w:pPr>
            <w:r w:rsidRPr="00C32ACC">
              <w:rPr>
                <w:b w:val="0"/>
                <w:bCs/>
                <w:sz w:val="24"/>
              </w:rPr>
              <w:t xml:space="preserve">Celem i założeniem zajęć jest poznanie historii awiacji, ze wskazaniem istotnych wydarzeń, które wpłynęły na obecny kształt regulacji prawnych, w tym ataków terrorystycznych (np. ataki na World Trade Center 2001) oraz katastrof lotniczych (np. Teneryfa, </w:t>
            </w:r>
            <w:proofErr w:type="spellStart"/>
            <w:r w:rsidRPr="00C32ACC">
              <w:rPr>
                <w:b w:val="0"/>
                <w:bCs/>
                <w:sz w:val="24"/>
              </w:rPr>
              <w:t>Germanwings</w:t>
            </w:r>
            <w:proofErr w:type="spellEnd"/>
            <w:r w:rsidRPr="00C32ACC">
              <w:rPr>
                <w:b w:val="0"/>
                <w:bCs/>
                <w:sz w:val="24"/>
              </w:rPr>
              <w:t>).</w:t>
            </w:r>
          </w:p>
        </w:tc>
      </w:tr>
      <w:tr w:rsidR="00DE722C" w:rsidRPr="00C32ACC" w14:paraId="0E39115B" w14:textId="77777777" w:rsidTr="6F749F37">
        <w:trPr>
          <w:trHeight w:val="479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185E1B8" w14:textId="77777777" w:rsidR="00DE722C" w:rsidRPr="00C32ACC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C32ACC">
              <w:rPr>
                <w:sz w:val="24"/>
              </w:rPr>
              <w:t>Koordynator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1167F" w14:textId="77777777" w:rsidR="00DE722C" w:rsidRPr="00C32ACC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DE722C" w:rsidRPr="00C32ACC" w14:paraId="395234E3" w14:textId="77777777" w:rsidTr="6F749F37">
        <w:trPr>
          <w:trHeight w:val="48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E5B966B" w14:textId="77777777" w:rsidR="00DE722C" w:rsidRPr="00C32ACC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C32ACC">
              <w:rPr>
                <w:sz w:val="24"/>
              </w:rPr>
              <w:t>Prowadzący zajęcia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64FDA" w14:textId="77777777" w:rsidR="00DE722C" w:rsidRPr="00C32ACC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DE722C" w:rsidRPr="00C32ACC" w14:paraId="06341E6C" w14:textId="77777777" w:rsidTr="6F749F37">
        <w:trPr>
          <w:trHeight w:val="134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1C3C860" w14:textId="77777777" w:rsidR="00DE722C" w:rsidRPr="00C32ACC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C32ACC">
              <w:rPr>
                <w:sz w:val="24"/>
              </w:rPr>
              <w:lastRenderedPageBreak/>
              <w:t>Metody dydaktyczne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EAD188" w14:textId="77777777" w:rsidR="00DE722C" w:rsidRPr="00C32ACC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C32ACC">
              <w:rPr>
                <w:b w:val="0"/>
                <w:sz w:val="24"/>
              </w:rPr>
              <w:t xml:space="preserve">Wykład konwersatoryjny </w:t>
            </w:r>
          </w:p>
          <w:p w14:paraId="41753343" w14:textId="77777777" w:rsidR="00DE722C" w:rsidRPr="00C32ACC" w:rsidRDefault="004715CC" w:rsidP="004715CC">
            <w:pPr>
              <w:spacing w:after="93" w:line="276" w:lineRule="auto"/>
              <w:ind w:left="60"/>
              <w:rPr>
                <w:sz w:val="24"/>
              </w:rPr>
            </w:pPr>
            <w:r w:rsidRPr="00C32ACC">
              <w:rPr>
                <w:b w:val="0"/>
                <w:sz w:val="24"/>
              </w:rPr>
              <w:t xml:space="preserve">Dyskusja problemowa </w:t>
            </w:r>
          </w:p>
          <w:p w14:paraId="483C57B3" w14:textId="77777777" w:rsidR="00DE722C" w:rsidRPr="00C32ACC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C32ACC">
              <w:rPr>
                <w:b w:val="0"/>
                <w:sz w:val="24"/>
              </w:rPr>
              <w:t>Problem-</w:t>
            </w:r>
            <w:proofErr w:type="spellStart"/>
            <w:r w:rsidRPr="00C32ACC">
              <w:rPr>
                <w:b w:val="0"/>
                <w:sz w:val="24"/>
              </w:rPr>
              <w:t>Based</w:t>
            </w:r>
            <w:proofErr w:type="spellEnd"/>
            <w:r w:rsidRPr="00C32ACC">
              <w:rPr>
                <w:b w:val="0"/>
                <w:sz w:val="24"/>
              </w:rPr>
              <w:t xml:space="preserve"> Learning (PBL) </w:t>
            </w:r>
          </w:p>
          <w:p w14:paraId="4DFD3702" w14:textId="77777777" w:rsidR="00DE722C" w:rsidRPr="00C32ACC" w:rsidRDefault="004715CC" w:rsidP="004715CC">
            <w:pPr>
              <w:spacing w:line="276" w:lineRule="auto"/>
              <w:ind w:left="60"/>
              <w:rPr>
                <w:sz w:val="24"/>
              </w:rPr>
            </w:pPr>
            <w:r w:rsidRPr="00C32ACC">
              <w:rPr>
                <w:b w:val="0"/>
                <w:sz w:val="24"/>
              </w:rPr>
              <w:t xml:space="preserve">Studium przypadku (Case </w:t>
            </w:r>
            <w:proofErr w:type="spellStart"/>
            <w:r w:rsidRPr="00C32ACC">
              <w:rPr>
                <w:b w:val="0"/>
                <w:sz w:val="24"/>
              </w:rPr>
              <w:t>Study</w:t>
            </w:r>
            <w:proofErr w:type="spellEnd"/>
            <w:r w:rsidRPr="00C32ACC">
              <w:rPr>
                <w:b w:val="0"/>
                <w:sz w:val="24"/>
              </w:rPr>
              <w:t xml:space="preserve">) </w:t>
            </w:r>
          </w:p>
        </w:tc>
      </w:tr>
      <w:tr w:rsidR="00DE722C" w:rsidRPr="00C32ACC" w14:paraId="49AA6CB3" w14:textId="77777777" w:rsidTr="6F749F37">
        <w:trPr>
          <w:trHeight w:val="134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87FCEC8" w14:textId="77777777" w:rsidR="00DE722C" w:rsidRPr="00C32ACC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C32ACC">
              <w:rPr>
                <w:sz w:val="24"/>
              </w:rPr>
              <w:t>Narzędzia dydaktyczne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7A2C954F" w14:textId="77777777" w:rsidR="00DE722C" w:rsidRPr="00C32ACC" w:rsidRDefault="004715CC" w:rsidP="004715CC">
            <w:pPr>
              <w:spacing w:after="93" w:line="276" w:lineRule="auto"/>
              <w:ind w:left="60"/>
              <w:rPr>
                <w:sz w:val="24"/>
              </w:rPr>
            </w:pPr>
            <w:r w:rsidRPr="00C32ACC">
              <w:rPr>
                <w:b w:val="0"/>
                <w:sz w:val="24"/>
              </w:rPr>
              <w:t>Komputer/laptop</w:t>
            </w:r>
          </w:p>
          <w:p w14:paraId="1B6902EB" w14:textId="77777777" w:rsidR="00DE722C" w:rsidRPr="00C32ACC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C32ACC">
              <w:rPr>
                <w:b w:val="0"/>
                <w:sz w:val="24"/>
              </w:rPr>
              <w:t>Oprogramowanie Microsoft Office</w:t>
            </w:r>
          </w:p>
          <w:p w14:paraId="26A1B7BB" w14:textId="77777777" w:rsidR="00DE722C" w:rsidRPr="00C32ACC" w:rsidRDefault="004715CC" w:rsidP="004715CC">
            <w:pPr>
              <w:spacing w:after="93" w:line="276" w:lineRule="auto"/>
              <w:ind w:left="60"/>
              <w:rPr>
                <w:sz w:val="24"/>
              </w:rPr>
            </w:pPr>
            <w:r w:rsidRPr="00C32ACC">
              <w:rPr>
                <w:b w:val="0"/>
                <w:sz w:val="24"/>
              </w:rPr>
              <w:t>Prezentacja multimedialna</w:t>
            </w:r>
          </w:p>
          <w:p w14:paraId="251249EA" w14:textId="77777777" w:rsidR="00DE722C" w:rsidRPr="00C32ACC" w:rsidRDefault="004715CC" w:rsidP="004715CC">
            <w:pPr>
              <w:spacing w:line="276" w:lineRule="auto"/>
              <w:ind w:left="60"/>
              <w:rPr>
                <w:sz w:val="24"/>
              </w:rPr>
            </w:pPr>
            <w:r w:rsidRPr="00C32ACC">
              <w:rPr>
                <w:b w:val="0"/>
                <w:sz w:val="24"/>
              </w:rPr>
              <w:t>Rzutnik multimedialny</w:t>
            </w:r>
          </w:p>
        </w:tc>
      </w:tr>
      <w:tr w:rsidR="00DE722C" w:rsidRPr="00C32ACC" w14:paraId="199333D9" w14:textId="77777777" w:rsidTr="6F749F37">
        <w:trPr>
          <w:trHeight w:val="458"/>
        </w:trPr>
        <w:tc>
          <w:tcPr>
            <w:tcW w:w="10772" w:type="dxa"/>
            <w:gridSpan w:val="5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A18EEF0" w14:textId="77777777" w:rsidR="00DE722C" w:rsidRPr="00C32ACC" w:rsidRDefault="004715CC" w:rsidP="004715CC">
            <w:pPr>
              <w:spacing w:line="276" w:lineRule="auto"/>
              <w:ind w:left="81"/>
              <w:rPr>
                <w:sz w:val="24"/>
              </w:rPr>
            </w:pPr>
            <w:r w:rsidRPr="00C32ACC">
              <w:rPr>
                <w:sz w:val="24"/>
              </w:rPr>
              <w:t>Efekty uczenia się</w:t>
            </w:r>
          </w:p>
        </w:tc>
      </w:tr>
      <w:tr w:rsidR="00DE722C" w:rsidRPr="00C32ACC" w14:paraId="2EADBDF4" w14:textId="77777777" w:rsidTr="6F749F37">
        <w:trPr>
          <w:trHeight w:val="458"/>
        </w:trPr>
        <w:tc>
          <w:tcPr>
            <w:tcW w:w="5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F38CA53" w14:textId="77777777" w:rsidR="00DE722C" w:rsidRPr="00C32ACC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C32ACC">
              <w:rPr>
                <w:sz w:val="24"/>
              </w:rPr>
              <w:t>Wiedza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00B6985D" w14:textId="77777777" w:rsidR="00DE722C" w:rsidRPr="00C32ACC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C32ACC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7FFE2D3" w14:textId="77777777" w:rsidR="00DE722C" w:rsidRPr="00C32ACC" w:rsidRDefault="004715CC" w:rsidP="004715CC">
            <w:pPr>
              <w:spacing w:line="276" w:lineRule="auto"/>
              <w:ind w:left="28"/>
              <w:rPr>
                <w:sz w:val="24"/>
              </w:rPr>
            </w:pPr>
            <w:r w:rsidRPr="00C32ACC">
              <w:rPr>
                <w:sz w:val="24"/>
              </w:rPr>
              <w:t>Metody weryfikacji</w:t>
            </w:r>
          </w:p>
        </w:tc>
      </w:tr>
      <w:tr w:rsidR="00DE722C" w:rsidRPr="00C32ACC" w14:paraId="763092B5" w14:textId="77777777" w:rsidTr="6F749F37">
        <w:trPr>
          <w:trHeight w:val="90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CFE0D" w14:textId="77777777" w:rsidR="00DE722C" w:rsidRPr="00C32ACC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B0C58" w14:textId="187FEA4A" w:rsidR="00DE722C" w:rsidRPr="00C32ACC" w:rsidRDefault="00D316FA" w:rsidP="305F6916">
            <w:pPr>
              <w:spacing w:line="276" w:lineRule="auto"/>
              <w:ind w:left="4"/>
              <w:rPr>
                <w:b w:val="0"/>
                <w:bCs/>
                <w:sz w:val="24"/>
              </w:rPr>
            </w:pPr>
            <w:r w:rsidRPr="00C32ACC">
              <w:rPr>
                <w:b w:val="0"/>
                <w:bCs/>
                <w:sz w:val="24"/>
              </w:rPr>
              <w:t>Student w zaawansowanym stopniu zna i rozumie wybrane fakty, obiekty i zjawiska oraz dotyczące ich metody i teorie wyjaśniające złożone zależności między nimi, stanowiące podstawową wiedzę ogólną z zakresu regulacji prawnych dot. bezpieczeństwa w lotnictwie cywilnym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655AB8" w14:textId="01254137" w:rsidR="00DE722C" w:rsidRPr="00C32ACC" w:rsidRDefault="004715CC" w:rsidP="305F6916">
            <w:pPr>
              <w:spacing w:line="276" w:lineRule="auto"/>
              <w:ind w:left="50"/>
              <w:rPr>
                <w:sz w:val="24"/>
              </w:rPr>
            </w:pPr>
            <w:r w:rsidRPr="00C32ACC">
              <w:rPr>
                <w:b w:val="0"/>
                <w:sz w:val="24"/>
              </w:rPr>
              <w:t>K_W0</w:t>
            </w:r>
            <w:r w:rsidR="00D316FA" w:rsidRPr="00C32ACC">
              <w:rPr>
                <w:b w:val="0"/>
                <w:sz w:val="24"/>
              </w:rPr>
              <w:t>1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571796" w14:textId="37A956CB" w:rsidR="00DE722C" w:rsidRPr="00C32ACC" w:rsidRDefault="004715CC" w:rsidP="004715CC">
            <w:pPr>
              <w:spacing w:after="167" w:line="276" w:lineRule="auto"/>
              <w:ind w:left="4"/>
              <w:rPr>
                <w:sz w:val="24"/>
              </w:rPr>
            </w:pPr>
            <w:r w:rsidRPr="00C32ACC">
              <w:rPr>
                <w:b w:val="0"/>
                <w:sz w:val="24"/>
              </w:rPr>
              <w:t xml:space="preserve">  </w:t>
            </w:r>
            <w:r w:rsidR="00D316FA" w:rsidRPr="00C32ACC">
              <w:rPr>
                <w:b w:val="0"/>
                <w:sz w:val="24"/>
              </w:rPr>
              <w:t>Praca zaliczeniowa</w:t>
            </w:r>
          </w:p>
        </w:tc>
      </w:tr>
      <w:tr w:rsidR="00DE722C" w:rsidRPr="00C32ACC" w14:paraId="4BC85053" w14:textId="77777777" w:rsidTr="6F749F37">
        <w:trPr>
          <w:trHeight w:val="6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912F4" w14:textId="77777777" w:rsidR="00DE722C" w:rsidRPr="00C32ACC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A6B2D9" w14:textId="77777777" w:rsidR="00D316FA" w:rsidRPr="00C32ACC" w:rsidRDefault="00D316FA" w:rsidP="00D316FA">
            <w:pPr>
              <w:spacing w:line="276" w:lineRule="auto"/>
              <w:ind w:left="0"/>
              <w:rPr>
                <w:b w:val="0"/>
                <w:sz w:val="24"/>
              </w:rPr>
            </w:pPr>
          </w:p>
          <w:p w14:paraId="7205FD3F" w14:textId="77777777" w:rsidR="00D316FA" w:rsidRPr="00C32ACC" w:rsidRDefault="00D316FA" w:rsidP="00D316FA">
            <w:pPr>
              <w:spacing w:line="276" w:lineRule="auto"/>
              <w:ind w:left="4"/>
              <w:rPr>
                <w:b w:val="0"/>
                <w:sz w:val="24"/>
              </w:rPr>
            </w:pPr>
            <w:r w:rsidRPr="00C32ACC">
              <w:rPr>
                <w:b w:val="0"/>
                <w:sz w:val="24"/>
              </w:rPr>
              <w:t>Student w zaawansowanym stopniu zna terminologię właściwą dla obszaru nauk prawnych, w szczególności regulacji dot. bezpieczeństwa w lotnictwie cywilnym.</w:t>
            </w:r>
          </w:p>
          <w:p w14:paraId="6AD15A50" w14:textId="77777777" w:rsidR="00D316FA" w:rsidRPr="00C32ACC" w:rsidRDefault="00D316FA" w:rsidP="00D316FA">
            <w:pPr>
              <w:spacing w:line="276" w:lineRule="auto"/>
              <w:ind w:left="4"/>
              <w:rPr>
                <w:b w:val="0"/>
                <w:sz w:val="24"/>
              </w:rPr>
            </w:pPr>
          </w:p>
          <w:p w14:paraId="7FD8F560" w14:textId="4662FC2C" w:rsidR="00DE722C" w:rsidRPr="00C32ACC" w:rsidRDefault="00DE722C" w:rsidP="00D316FA">
            <w:pPr>
              <w:spacing w:line="276" w:lineRule="auto"/>
              <w:ind w:left="4"/>
              <w:rPr>
                <w:b w:val="0"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4A62CE" w14:textId="757A7C21" w:rsidR="00DE722C" w:rsidRPr="00C32ACC" w:rsidRDefault="004715CC" w:rsidP="305F6916">
            <w:pPr>
              <w:spacing w:line="276" w:lineRule="auto"/>
              <w:ind w:left="50"/>
              <w:rPr>
                <w:b w:val="0"/>
                <w:sz w:val="24"/>
              </w:rPr>
            </w:pPr>
            <w:r w:rsidRPr="00C32ACC">
              <w:rPr>
                <w:b w:val="0"/>
                <w:sz w:val="24"/>
              </w:rPr>
              <w:t>K_W</w:t>
            </w:r>
            <w:r w:rsidR="47ED16FB" w:rsidRPr="00C32ACC">
              <w:rPr>
                <w:b w:val="0"/>
                <w:sz w:val="24"/>
              </w:rPr>
              <w:t>0</w:t>
            </w:r>
            <w:r w:rsidR="00D316FA" w:rsidRPr="00C32ACC">
              <w:rPr>
                <w:b w:val="0"/>
                <w:sz w:val="24"/>
              </w:rPr>
              <w:t>2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649C2D" w14:textId="6B2E6FCC" w:rsidR="00DE722C" w:rsidRPr="00C32ACC" w:rsidRDefault="00D316FA" w:rsidP="004715CC">
            <w:pPr>
              <w:spacing w:after="167" w:line="276" w:lineRule="auto"/>
              <w:ind w:left="4"/>
              <w:rPr>
                <w:sz w:val="24"/>
              </w:rPr>
            </w:pPr>
            <w:r w:rsidRPr="00C32ACC">
              <w:rPr>
                <w:b w:val="0"/>
                <w:sz w:val="24"/>
              </w:rPr>
              <w:t>Praca zaliczeniowa</w:t>
            </w:r>
          </w:p>
        </w:tc>
      </w:tr>
      <w:tr w:rsidR="00D316FA" w:rsidRPr="00C32ACC" w14:paraId="5424D9AF" w14:textId="77777777" w:rsidTr="6F749F37">
        <w:trPr>
          <w:trHeight w:val="6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54EB7" w14:textId="77777777" w:rsidR="00D316FA" w:rsidRPr="00C32ACC" w:rsidRDefault="00D316FA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79CA66" w14:textId="60AE06BE" w:rsidR="00D316FA" w:rsidRPr="00C32ACC" w:rsidRDefault="00D316FA" w:rsidP="00D316FA">
            <w:pPr>
              <w:spacing w:line="276" w:lineRule="auto"/>
              <w:ind w:left="4"/>
              <w:rPr>
                <w:b w:val="0"/>
                <w:sz w:val="24"/>
              </w:rPr>
            </w:pPr>
            <w:r w:rsidRPr="00C32ACC">
              <w:rPr>
                <w:b w:val="0"/>
                <w:sz w:val="24"/>
              </w:rPr>
              <w:t>Student w zaawansowanym stopniu zna i rozumie wybrane szczegółowe zagadnienia, źródła i instytucje prawa lotniczego europejskiego i międzynarodowego.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569813" w14:textId="48E20EBF" w:rsidR="00D316FA" w:rsidRPr="00C32ACC" w:rsidRDefault="00D316FA" w:rsidP="305F6916">
            <w:pPr>
              <w:spacing w:line="276" w:lineRule="auto"/>
              <w:ind w:left="50"/>
              <w:rPr>
                <w:b w:val="0"/>
                <w:sz w:val="24"/>
              </w:rPr>
            </w:pPr>
            <w:r w:rsidRPr="00C32ACC">
              <w:rPr>
                <w:b w:val="0"/>
                <w:sz w:val="24"/>
              </w:rPr>
              <w:t>K_W06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14F5C2" w14:textId="6F83E0E3" w:rsidR="00D316FA" w:rsidRPr="00C32ACC" w:rsidRDefault="00D316FA" w:rsidP="004715CC">
            <w:pPr>
              <w:spacing w:after="167" w:line="276" w:lineRule="auto"/>
              <w:ind w:left="4"/>
              <w:rPr>
                <w:b w:val="0"/>
                <w:sz w:val="24"/>
              </w:rPr>
            </w:pPr>
            <w:r w:rsidRPr="00C32ACC">
              <w:rPr>
                <w:b w:val="0"/>
                <w:sz w:val="24"/>
              </w:rPr>
              <w:t>Praca zaliczeniowa</w:t>
            </w:r>
          </w:p>
        </w:tc>
      </w:tr>
      <w:tr w:rsidR="00DE722C" w:rsidRPr="00C32ACC" w14:paraId="620B93A9" w14:textId="77777777" w:rsidTr="6F749F37">
        <w:trPr>
          <w:trHeight w:val="458"/>
        </w:trPr>
        <w:tc>
          <w:tcPr>
            <w:tcW w:w="5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EBE6228" w14:textId="77777777" w:rsidR="00DE722C" w:rsidRPr="00C32ACC" w:rsidRDefault="004715CC" w:rsidP="004715CC">
            <w:pPr>
              <w:spacing w:line="276" w:lineRule="auto"/>
              <w:ind w:left="82"/>
              <w:rPr>
                <w:sz w:val="24"/>
              </w:rPr>
            </w:pPr>
            <w:r w:rsidRPr="00C32ACC">
              <w:rPr>
                <w:sz w:val="24"/>
              </w:rPr>
              <w:t>Umiejętności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48C888D9" w14:textId="77777777" w:rsidR="00DE722C" w:rsidRPr="00C32ACC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C32ACC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036D163" w14:textId="77777777" w:rsidR="00DE722C" w:rsidRPr="00C32ACC" w:rsidRDefault="004715CC" w:rsidP="004715CC">
            <w:pPr>
              <w:spacing w:line="276" w:lineRule="auto"/>
              <w:ind w:left="28"/>
              <w:rPr>
                <w:sz w:val="24"/>
              </w:rPr>
            </w:pPr>
            <w:r w:rsidRPr="00C32ACC">
              <w:rPr>
                <w:sz w:val="24"/>
              </w:rPr>
              <w:t>Metody weryfikacji</w:t>
            </w:r>
          </w:p>
        </w:tc>
      </w:tr>
      <w:tr w:rsidR="00DE722C" w:rsidRPr="00C32ACC" w14:paraId="28CB75BA" w14:textId="77777777" w:rsidTr="6F749F37">
        <w:trPr>
          <w:trHeight w:val="109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CAC48" w14:textId="77777777" w:rsidR="00DE722C" w:rsidRPr="00C32ACC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A49F4" w14:textId="1F1A7BAC" w:rsidR="00DE722C" w:rsidRPr="00C32ACC" w:rsidRDefault="00D316FA" w:rsidP="305F6916">
            <w:pPr>
              <w:spacing w:line="276" w:lineRule="auto"/>
              <w:ind w:left="4"/>
              <w:rPr>
                <w:b w:val="0"/>
                <w:bCs/>
                <w:sz w:val="24"/>
              </w:rPr>
            </w:pPr>
            <w:r w:rsidRPr="00C32ACC">
              <w:rPr>
                <w:b w:val="0"/>
                <w:bCs/>
                <w:sz w:val="24"/>
              </w:rPr>
              <w:t>Student potrafi identyfikować i interpretować podstawowe zjawiska i procesy społeczne związane z bezpieczeństwem lotniczym z wykorzystaniem nabytej wiedzy z zakresu nauk o polityce i administracji, oraz prawa.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5402F7" w14:textId="5B9DAD0C" w:rsidR="00DE722C" w:rsidRPr="00C32ACC" w:rsidRDefault="004715CC" w:rsidP="305F6916">
            <w:pPr>
              <w:spacing w:line="276" w:lineRule="auto"/>
              <w:ind w:left="50"/>
              <w:rPr>
                <w:sz w:val="24"/>
              </w:rPr>
            </w:pPr>
            <w:r w:rsidRPr="00C32ACC">
              <w:rPr>
                <w:b w:val="0"/>
                <w:sz w:val="24"/>
              </w:rPr>
              <w:t>K_U0</w:t>
            </w:r>
            <w:r w:rsidR="00D316FA" w:rsidRPr="00C32ACC">
              <w:rPr>
                <w:b w:val="0"/>
                <w:sz w:val="24"/>
              </w:rPr>
              <w:t>9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D1EF04" w14:textId="501B6403" w:rsidR="00DE722C" w:rsidRPr="00C32ACC" w:rsidRDefault="004715CC" w:rsidP="004715CC">
            <w:pPr>
              <w:spacing w:after="167" w:line="276" w:lineRule="auto"/>
              <w:ind w:left="6"/>
              <w:rPr>
                <w:sz w:val="24"/>
              </w:rPr>
            </w:pPr>
            <w:r w:rsidRPr="00C32ACC">
              <w:rPr>
                <w:b w:val="0"/>
                <w:sz w:val="24"/>
              </w:rPr>
              <w:t xml:space="preserve"> </w:t>
            </w:r>
            <w:r w:rsidR="00D316FA" w:rsidRPr="00C32ACC">
              <w:rPr>
                <w:b w:val="0"/>
                <w:sz w:val="24"/>
              </w:rPr>
              <w:t>praca zaliczeniowa, dyskusja podczas zajęć</w:t>
            </w:r>
          </w:p>
        </w:tc>
      </w:tr>
      <w:tr w:rsidR="00DE722C" w:rsidRPr="00C32ACC" w14:paraId="0A5C9405" w14:textId="77777777" w:rsidTr="6F749F37">
        <w:trPr>
          <w:trHeight w:val="70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018FE" w14:textId="77777777" w:rsidR="00DE722C" w:rsidRPr="00C32ACC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6DB34" w14:textId="77777777" w:rsidR="00D316FA" w:rsidRPr="00C32ACC" w:rsidRDefault="00D316FA" w:rsidP="00D316FA">
            <w:pPr>
              <w:spacing w:line="276" w:lineRule="auto"/>
              <w:ind w:left="0"/>
              <w:rPr>
                <w:sz w:val="24"/>
              </w:rPr>
            </w:pPr>
          </w:p>
          <w:p w14:paraId="077B9980" w14:textId="766B47D7" w:rsidR="00DE722C" w:rsidRPr="00C32ACC" w:rsidRDefault="00D316FA" w:rsidP="00D316FA">
            <w:pPr>
              <w:spacing w:line="276" w:lineRule="auto"/>
              <w:ind w:left="4"/>
              <w:rPr>
                <w:b w:val="0"/>
                <w:bCs/>
                <w:sz w:val="24"/>
              </w:rPr>
            </w:pPr>
            <w:r w:rsidRPr="00C32ACC">
              <w:rPr>
                <w:b w:val="0"/>
                <w:bCs/>
                <w:sz w:val="24"/>
              </w:rPr>
              <w:t>Student potrafi analizować i prognozować procesy i zjawiska społeczne związane z bezpieczeństwem lotniczym z wykorzystaniem standardowych metod i narzędzi właściwych dla nauk prawnych.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C7315" w14:textId="095CFCBB" w:rsidR="00DE722C" w:rsidRPr="00C32ACC" w:rsidRDefault="004715CC" w:rsidP="305F6916">
            <w:pPr>
              <w:spacing w:line="276" w:lineRule="auto"/>
              <w:ind w:left="50"/>
              <w:rPr>
                <w:b w:val="0"/>
                <w:sz w:val="24"/>
              </w:rPr>
            </w:pPr>
            <w:r w:rsidRPr="00C32ACC">
              <w:rPr>
                <w:b w:val="0"/>
                <w:sz w:val="24"/>
              </w:rPr>
              <w:t>K_U0</w:t>
            </w:r>
            <w:r w:rsidR="00D316FA" w:rsidRPr="00C32ACC">
              <w:rPr>
                <w:b w:val="0"/>
                <w:sz w:val="24"/>
              </w:rPr>
              <w:t>10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DD06DA" w14:textId="44E9397A" w:rsidR="00DE722C" w:rsidRPr="00C32ACC" w:rsidRDefault="004715CC" w:rsidP="004715CC">
            <w:pPr>
              <w:spacing w:after="167" w:line="276" w:lineRule="auto"/>
              <w:ind w:left="6"/>
              <w:rPr>
                <w:b w:val="0"/>
                <w:bCs/>
                <w:sz w:val="24"/>
              </w:rPr>
            </w:pPr>
            <w:r w:rsidRPr="00C32ACC">
              <w:rPr>
                <w:b w:val="0"/>
                <w:bCs/>
                <w:sz w:val="24"/>
              </w:rPr>
              <w:t xml:space="preserve"> </w:t>
            </w:r>
            <w:r w:rsidR="00D316FA" w:rsidRPr="00C32ACC">
              <w:rPr>
                <w:b w:val="0"/>
                <w:bCs/>
                <w:sz w:val="24"/>
              </w:rPr>
              <w:t>praca zaliczeniowa, dyskusja podczas zajęć</w:t>
            </w:r>
          </w:p>
        </w:tc>
      </w:tr>
      <w:tr w:rsidR="00DE722C" w:rsidRPr="00C32ACC" w14:paraId="678ECD47" w14:textId="77777777" w:rsidTr="6F749F37">
        <w:trPr>
          <w:trHeight w:val="450"/>
        </w:trPr>
        <w:tc>
          <w:tcPr>
            <w:tcW w:w="5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CA7277C" w14:textId="77777777" w:rsidR="00DE722C" w:rsidRPr="00C32ACC" w:rsidRDefault="004715CC" w:rsidP="004715CC">
            <w:pPr>
              <w:spacing w:line="276" w:lineRule="auto"/>
              <w:ind w:left="83"/>
              <w:rPr>
                <w:sz w:val="24"/>
              </w:rPr>
            </w:pPr>
            <w:r w:rsidRPr="00C32ACC">
              <w:rPr>
                <w:sz w:val="24"/>
              </w:rPr>
              <w:lastRenderedPageBreak/>
              <w:t>Kompetencje społeczne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3A28534" w14:textId="77777777" w:rsidR="00DE722C" w:rsidRPr="00C32ACC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C32ACC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CDD0ED5" w14:textId="77777777" w:rsidR="00DE722C" w:rsidRPr="00C32ACC" w:rsidRDefault="004715CC" w:rsidP="004715CC">
            <w:pPr>
              <w:spacing w:line="276" w:lineRule="auto"/>
              <w:ind w:left="28"/>
              <w:rPr>
                <w:sz w:val="24"/>
              </w:rPr>
            </w:pPr>
            <w:r w:rsidRPr="00C32ACC">
              <w:rPr>
                <w:sz w:val="24"/>
              </w:rPr>
              <w:t>Metody weryfikacji</w:t>
            </w:r>
          </w:p>
        </w:tc>
      </w:tr>
      <w:tr w:rsidR="00DE722C" w:rsidRPr="00C32ACC" w14:paraId="7534A42F" w14:textId="77777777" w:rsidTr="6F749F37">
        <w:trPr>
          <w:trHeight w:val="7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61D11" w14:textId="77777777" w:rsidR="00DE722C" w:rsidRPr="00C32ACC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6142E" w14:textId="535BF0FA" w:rsidR="00DE722C" w:rsidRPr="00C32ACC" w:rsidRDefault="00D316FA" w:rsidP="305F6916">
            <w:pPr>
              <w:spacing w:line="276" w:lineRule="auto"/>
              <w:ind w:left="4"/>
              <w:rPr>
                <w:b w:val="0"/>
                <w:sz w:val="24"/>
              </w:rPr>
            </w:pPr>
            <w:r w:rsidRPr="00C32ACC">
              <w:rPr>
                <w:b w:val="0"/>
                <w:sz w:val="24"/>
              </w:rPr>
              <w:t>Student jest gotów uznawania znaczenia wiedzy w rozwiązywaniu problemów poznawczych i praktycznych związanych z bezpieczeństwem lotniczym oraz zasięgania opinii ekspertów lotniczych w przypadku trudności z samodzielnym rozwiązywaniem problemu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F0FE0D" w14:textId="73BFB36E" w:rsidR="00DE722C" w:rsidRPr="00C32ACC" w:rsidRDefault="004715CC" w:rsidP="004715CC">
            <w:pPr>
              <w:spacing w:line="276" w:lineRule="auto"/>
              <w:ind w:left="46"/>
              <w:rPr>
                <w:sz w:val="24"/>
              </w:rPr>
            </w:pPr>
            <w:r w:rsidRPr="00C32ACC">
              <w:rPr>
                <w:b w:val="0"/>
                <w:sz w:val="24"/>
              </w:rPr>
              <w:t>K_K0</w:t>
            </w:r>
            <w:r w:rsidR="00D316FA" w:rsidRPr="00C32ACC">
              <w:rPr>
                <w:b w:val="0"/>
                <w:sz w:val="24"/>
              </w:rPr>
              <w:t>1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3D524" w14:textId="344AEA99" w:rsidR="00DE722C" w:rsidRPr="00C32ACC" w:rsidRDefault="004715CC" w:rsidP="6F749F37">
            <w:pPr>
              <w:spacing w:after="167" w:line="276" w:lineRule="auto"/>
              <w:ind w:left="6"/>
              <w:rPr>
                <w:b w:val="0"/>
                <w:sz w:val="24"/>
              </w:rPr>
            </w:pPr>
            <w:r w:rsidRPr="00C32ACC">
              <w:rPr>
                <w:b w:val="0"/>
                <w:sz w:val="24"/>
              </w:rPr>
              <w:t xml:space="preserve"> </w:t>
            </w:r>
            <w:r w:rsidR="00D316FA" w:rsidRPr="00C32ACC">
              <w:rPr>
                <w:b w:val="0"/>
                <w:sz w:val="24"/>
              </w:rPr>
              <w:t>dyskusja podczas zajęć</w:t>
            </w:r>
          </w:p>
        </w:tc>
      </w:tr>
      <w:tr w:rsidR="00D316FA" w:rsidRPr="00C32ACC" w14:paraId="40E4A3C2" w14:textId="77777777" w:rsidTr="6F749F37">
        <w:trPr>
          <w:trHeight w:val="7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DBB36" w14:textId="77777777" w:rsidR="00D316FA" w:rsidRPr="00C32ACC" w:rsidRDefault="00D316FA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0D22C" w14:textId="593F12F6" w:rsidR="00D316FA" w:rsidRPr="00C32ACC" w:rsidRDefault="00D316FA" w:rsidP="00D316FA">
            <w:pPr>
              <w:spacing w:line="276" w:lineRule="auto"/>
              <w:ind w:left="0"/>
              <w:rPr>
                <w:b w:val="0"/>
                <w:sz w:val="24"/>
              </w:rPr>
            </w:pPr>
          </w:p>
          <w:p w14:paraId="04FBC75E" w14:textId="77777777" w:rsidR="00D316FA" w:rsidRPr="00C32ACC" w:rsidRDefault="00D316FA" w:rsidP="00D316FA">
            <w:pPr>
              <w:spacing w:line="276" w:lineRule="auto"/>
              <w:ind w:left="4"/>
              <w:rPr>
                <w:b w:val="0"/>
                <w:sz w:val="24"/>
              </w:rPr>
            </w:pPr>
            <w:r w:rsidRPr="00C32ACC">
              <w:rPr>
                <w:b w:val="0"/>
                <w:sz w:val="24"/>
              </w:rPr>
              <w:t>Student jest gotów do krytycznej oceny posiadanej wiedzy i odbieranych treści  związanych ze stanowieniem i stosowaniem regulacji prawnych dot. bezpieczeństwa w lotnictwie cywilnym</w:t>
            </w:r>
          </w:p>
          <w:p w14:paraId="1ED40B51" w14:textId="77777777" w:rsidR="00D316FA" w:rsidRPr="00C32ACC" w:rsidRDefault="00D316FA" w:rsidP="305F6916">
            <w:pPr>
              <w:spacing w:line="276" w:lineRule="auto"/>
              <w:ind w:left="4"/>
              <w:rPr>
                <w:b w:val="0"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C2F047" w14:textId="0B6064D6" w:rsidR="00D316FA" w:rsidRPr="00C32ACC" w:rsidRDefault="00D316FA" w:rsidP="004715CC">
            <w:pPr>
              <w:spacing w:line="276" w:lineRule="auto"/>
              <w:ind w:left="46"/>
              <w:rPr>
                <w:b w:val="0"/>
                <w:sz w:val="24"/>
              </w:rPr>
            </w:pPr>
            <w:r w:rsidRPr="00C32ACC">
              <w:rPr>
                <w:b w:val="0"/>
                <w:sz w:val="24"/>
              </w:rPr>
              <w:t>K_K02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88A312" w14:textId="112CE3E0" w:rsidR="00D316FA" w:rsidRPr="00C32ACC" w:rsidRDefault="00D316FA" w:rsidP="004715CC">
            <w:pPr>
              <w:spacing w:after="167" w:line="276" w:lineRule="auto"/>
              <w:ind w:left="6"/>
              <w:rPr>
                <w:b w:val="0"/>
                <w:sz w:val="24"/>
              </w:rPr>
            </w:pPr>
            <w:r w:rsidRPr="00C32ACC">
              <w:rPr>
                <w:b w:val="0"/>
                <w:sz w:val="24"/>
              </w:rPr>
              <w:t>dyskusja podczas zajęć</w:t>
            </w:r>
          </w:p>
        </w:tc>
      </w:tr>
    </w:tbl>
    <w:p w14:paraId="7F8BA4AB" w14:textId="77777777" w:rsidR="00DE722C" w:rsidRPr="00C32ACC" w:rsidRDefault="00DE722C" w:rsidP="004715CC">
      <w:pPr>
        <w:spacing w:line="276" w:lineRule="auto"/>
        <w:ind w:left="-1440" w:right="10466"/>
        <w:rPr>
          <w:sz w:val="24"/>
        </w:rPr>
      </w:pPr>
    </w:p>
    <w:tbl>
      <w:tblPr>
        <w:tblStyle w:val="TableGrid"/>
        <w:tblW w:w="10772" w:type="dxa"/>
        <w:tblInd w:w="-872" w:type="dxa"/>
        <w:tblCellMar>
          <w:top w:w="59" w:type="dxa"/>
          <w:left w:w="44" w:type="dxa"/>
          <w:bottom w:w="59" w:type="dxa"/>
          <w:right w:w="51" w:type="dxa"/>
        </w:tblCellMar>
        <w:tblLook w:val="04A0" w:firstRow="1" w:lastRow="0" w:firstColumn="1" w:lastColumn="0" w:noHBand="0" w:noVBand="1"/>
      </w:tblPr>
      <w:tblGrid>
        <w:gridCol w:w="400"/>
        <w:gridCol w:w="839"/>
        <w:gridCol w:w="2040"/>
        <w:gridCol w:w="2649"/>
        <w:gridCol w:w="2552"/>
        <w:gridCol w:w="1389"/>
        <w:gridCol w:w="266"/>
        <w:gridCol w:w="637"/>
      </w:tblGrid>
      <w:tr w:rsidR="00DE722C" w:rsidRPr="00C32ACC" w14:paraId="4BD5AEB1" w14:textId="77777777" w:rsidTr="6F749F37">
        <w:trPr>
          <w:trHeight w:val="419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B392F3B" w14:textId="77777777" w:rsidR="00DE722C" w:rsidRPr="00C32ACC" w:rsidRDefault="004715CC" w:rsidP="004715CC">
            <w:pPr>
              <w:spacing w:line="276" w:lineRule="auto"/>
              <w:ind w:left="11"/>
              <w:rPr>
                <w:sz w:val="24"/>
              </w:rPr>
            </w:pPr>
            <w:r w:rsidRPr="00C32ACC">
              <w:rPr>
                <w:sz w:val="24"/>
              </w:rPr>
              <w:t>Treści kształcenia</w:t>
            </w:r>
          </w:p>
        </w:tc>
      </w:tr>
      <w:tr w:rsidR="00DE722C" w:rsidRPr="00C32ACC" w14:paraId="2A888692" w14:textId="77777777" w:rsidTr="6F749F37">
        <w:trPr>
          <w:trHeight w:val="448"/>
        </w:trPr>
        <w:tc>
          <w:tcPr>
            <w:tcW w:w="986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F9BA859" w14:textId="77777777" w:rsidR="00DE722C" w:rsidRPr="00C32ACC" w:rsidRDefault="004715CC" w:rsidP="004715CC">
            <w:pPr>
              <w:spacing w:line="276" w:lineRule="auto"/>
              <w:ind w:left="24"/>
              <w:rPr>
                <w:sz w:val="24"/>
              </w:rPr>
            </w:pPr>
            <w:r w:rsidRPr="00C32ACC">
              <w:rPr>
                <w:sz w:val="24"/>
              </w:rPr>
              <w:t>Tematyka zajęć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1963552" w14:textId="77777777" w:rsidR="00DE722C" w:rsidRPr="00C32ACC" w:rsidRDefault="004715CC" w:rsidP="004715CC">
            <w:pPr>
              <w:spacing w:line="276" w:lineRule="auto"/>
              <w:ind w:left="22"/>
              <w:rPr>
                <w:sz w:val="24"/>
              </w:rPr>
            </w:pPr>
            <w:r w:rsidRPr="00C32ACC">
              <w:rPr>
                <w:sz w:val="24"/>
              </w:rPr>
              <w:t>Liczba godzin</w:t>
            </w:r>
          </w:p>
        </w:tc>
      </w:tr>
      <w:tr w:rsidR="00DE722C" w:rsidRPr="00C32ACC" w14:paraId="48EECCC1" w14:textId="77777777" w:rsidTr="6F749F37">
        <w:trPr>
          <w:trHeight w:val="428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29F6B93" w14:textId="77777777" w:rsidR="00DE722C" w:rsidRPr="00C32ACC" w:rsidRDefault="004715CC" w:rsidP="004715CC">
            <w:pPr>
              <w:spacing w:line="276" w:lineRule="auto"/>
              <w:ind w:left="0" w:right="38"/>
              <w:rPr>
                <w:sz w:val="24"/>
              </w:rPr>
            </w:pPr>
            <w:r w:rsidRPr="00C32ACC">
              <w:rPr>
                <w:sz w:val="24"/>
              </w:rPr>
              <w:t>Konwersatorium</w:t>
            </w:r>
          </w:p>
        </w:tc>
      </w:tr>
      <w:tr w:rsidR="00D316FA" w:rsidRPr="00C32ACC" w14:paraId="0444B204" w14:textId="77777777" w:rsidTr="6F749F37">
        <w:trPr>
          <w:trHeight w:val="396"/>
        </w:trPr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1E69A" w14:textId="77777777" w:rsidR="00D316FA" w:rsidRPr="00C32ACC" w:rsidRDefault="00D316FA" w:rsidP="00D316FA">
            <w:pPr>
              <w:spacing w:line="276" w:lineRule="auto"/>
              <w:ind w:left="0"/>
              <w:rPr>
                <w:sz w:val="24"/>
              </w:rPr>
            </w:pPr>
            <w:r w:rsidRPr="00C32ACC">
              <w:rPr>
                <w:b w:val="0"/>
                <w:sz w:val="24"/>
              </w:rPr>
              <w:t xml:space="preserve"> 1.</w:t>
            </w:r>
          </w:p>
        </w:tc>
        <w:tc>
          <w:tcPr>
            <w:tcW w:w="9469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8574B" w14:textId="14081A60" w:rsidR="00D316FA" w:rsidRPr="00C32ACC" w:rsidRDefault="00D316FA" w:rsidP="00D316FA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C32ACC">
              <w:rPr>
                <w:rStyle w:val="Domylnaczcionkaakapitu1"/>
                <w:b w:val="0"/>
                <w:bCs/>
                <w:color w:val="auto"/>
                <w:sz w:val="24"/>
              </w:rPr>
              <w:t>1. Rys historyczny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9BEAC" w14:textId="262328B1" w:rsidR="00D316FA" w:rsidRPr="00C32ACC" w:rsidRDefault="00D316FA" w:rsidP="00D316FA">
            <w:pPr>
              <w:spacing w:line="276" w:lineRule="auto"/>
              <w:ind w:left="22"/>
              <w:rPr>
                <w:b w:val="0"/>
                <w:sz w:val="24"/>
              </w:rPr>
            </w:pPr>
            <w:r w:rsidRPr="00C32ACC">
              <w:rPr>
                <w:b w:val="0"/>
                <w:sz w:val="24"/>
              </w:rPr>
              <w:t>2</w:t>
            </w:r>
          </w:p>
        </w:tc>
      </w:tr>
      <w:tr w:rsidR="00D316FA" w:rsidRPr="00C32ACC" w14:paraId="012EBB07" w14:textId="77777777" w:rsidTr="6F749F37">
        <w:trPr>
          <w:trHeight w:val="396"/>
        </w:trPr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DFBA6" w14:textId="77777777" w:rsidR="00D316FA" w:rsidRPr="00C32ACC" w:rsidRDefault="00D316FA" w:rsidP="00D316FA">
            <w:pPr>
              <w:spacing w:line="276" w:lineRule="auto"/>
              <w:ind w:left="0"/>
              <w:rPr>
                <w:sz w:val="24"/>
              </w:rPr>
            </w:pPr>
            <w:r w:rsidRPr="00C32ACC">
              <w:rPr>
                <w:b w:val="0"/>
                <w:sz w:val="24"/>
              </w:rPr>
              <w:t xml:space="preserve"> 2.</w:t>
            </w:r>
          </w:p>
        </w:tc>
        <w:tc>
          <w:tcPr>
            <w:tcW w:w="94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89A1D" w14:textId="77777777" w:rsidR="00D316FA" w:rsidRPr="00C32ACC" w:rsidRDefault="00D316FA" w:rsidP="00D316FA">
            <w:pPr>
              <w:ind w:left="0"/>
              <w:rPr>
                <w:rFonts w:eastAsia="DINCE-Regular"/>
                <w:b w:val="0"/>
                <w:bCs/>
                <w:color w:val="auto"/>
                <w:sz w:val="24"/>
              </w:rPr>
            </w:pPr>
            <w:r w:rsidRPr="00C32ACC">
              <w:rPr>
                <w:rFonts w:eastAsia="DINCE-Regular"/>
                <w:b w:val="0"/>
                <w:bCs/>
                <w:color w:val="auto"/>
                <w:sz w:val="24"/>
              </w:rPr>
              <w:t>2. Źródła prawa międzynarodowego; wybrane instytucje międzynarodowe</w:t>
            </w:r>
          </w:p>
          <w:p w14:paraId="176CF7B8" w14:textId="77777777" w:rsidR="00D316FA" w:rsidRPr="00C32ACC" w:rsidRDefault="00D316FA" w:rsidP="00D316FA">
            <w:pPr>
              <w:ind w:left="0"/>
              <w:rPr>
                <w:rFonts w:eastAsia="DINCE-Regular"/>
                <w:b w:val="0"/>
                <w:bCs/>
                <w:color w:val="auto"/>
                <w:sz w:val="24"/>
              </w:rPr>
            </w:pPr>
            <w:r w:rsidRPr="00C32ACC">
              <w:rPr>
                <w:rFonts w:eastAsia="DINCE-Regular"/>
                <w:b w:val="0"/>
                <w:bCs/>
                <w:color w:val="auto"/>
                <w:sz w:val="24"/>
              </w:rPr>
              <w:t>2.1. Konwencja chicagowska – kluczowe przepisy, Konwencja Paryska 1919 – kluczowe przepisy</w:t>
            </w:r>
          </w:p>
          <w:p w14:paraId="4A6815A0" w14:textId="77777777" w:rsidR="00D316FA" w:rsidRPr="00C32ACC" w:rsidRDefault="00D316FA" w:rsidP="00D316FA">
            <w:pPr>
              <w:ind w:left="0"/>
              <w:rPr>
                <w:rFonts w:eastAsia="DINCE-Regular"/>
                <w:b w:val="0"/>
                <w:bCs/>
                <w:color w:val="auto"/>
                <w:sz w:val="24"/>
              </w:rPr>
            </w:pPr>
            <w:r w:rsidRPr="00C32ACC">
              <w:rPr>
                <w:rFonts w:eastAsia="DINCE-Regular"/>
                <w:b w:val="0"/>
                <w:bCs/>
                <w:color w:val="auto"/>
                <w:sz w:val="24"/>
              </w:rPr>
              <w:t xml:space="preserve">2.2. Załączniki do Konwencji Chicagowskiej 19, 17 </w:t>
            </w:r>
            <w:proofErr w:type="spellStart"/>
            <w:r w:rsidRPr="00C32ACC">
              <w:rPr>
                <w:rFonts w:eastAsia="DINCE-Regular"/>
                <w:b w:val="0"/>
                <w:bCs/>
                <w:color w:val="auto"/>
                <w:sz w:val="24"/>
              </w:rPr>
              <w:t>Safety</w:t>
            </w:r>
            <w:proofErr w:type="spellEnd"/>
            <w:r w:rsidRPr="00C32ACC">
              <w:rPr>
                <w:rFonts w:eastAsia="DINCE-Regular"/>
                <w:b w:val="0"/>
                <w:bCs/>
                <w:color w:val="auto"/>
                <w:sz w:val="24"/>
              </w:rPr>
              <w:t xml:space="preserve"> i Security – wspólne obszary, różne cele.</w:t>
            </w:r>
          </w:p>
          <w:p w14:paraId="1612756B" w14:textId="77777777" w:rsidR="00D316FA" w:rsidRPr="00C32ACC" w:rsidRDefault="00D316FA" w:rsidP="00D316FA">
            <w:pPr>
              <w:ind w:left="0"/>
              <w:rPr>
                <w:rFonts w:eastAsia="DINCE-Regular"/>
                <w:b w:val="0"/>
                <w:bCs/>
                <w:color w:val="auto"/>
                <w:sz w:val="24"/>
              </w:rPr>
            </w:pPr>
            <w:r w:rsidRPr="00C32ACC">
              <w:rPr>
                <w:rFonts w:eastAsia="DINCE-Regular"/>
                <w:b w:val="0"/>
                <w:bCs/>
                <w:color w:val="auto"/>
                <w:sz w:val="24"/>
              </w:rPr>
              <w:t>2.3. Mechanizmy wdrażania standardów i zalecanych praktyk.</w:t>
            </w:r>
          </w:p>
          <w:p w14:paraId="485BF1FC" w14:textId="5D2F38A0" w:rsidR="00D316FA" w:rsidRPr="00C32ACC" w:rsidRDefault="00D316FA" w:rsidP="00D316FA">
            <w:pPr>
              <w:spacing w:line="276" w:lineRule="auto"/>
              <w:ind w:left="0"/>
              <w:rPr>
                <w:b w:val="0"/>
                <w:bCs/>
                <w:sz w:val="24"/>
                <w:lang w:val="en-US"/>
              </w:rPr>
            </w:pPr>
            <w:r w:rsidRPr="00C32ACC">
              <w:rPr>
                <w:rFonts w:eastAsia="DINCE-Regular"/>
                <w:b w:val="0"/>
                <w:bCs/>
                <w:color w:val="auto"/>
                <w:sz w:val="24"/>
              </w:rPr>
              <w:t>2.4. Rozróżnienie pojęć „bezpieczeństwo” (</w:t>
            </w:r>
            <w:proofErr w:type="spellStart"/>
            <w:r w:rsidRPr="00C32ACC">
              <w:rPr>
                <w:rFonts w:eastAsia="DINCE-Regular"/>
                <w:b w:val="0"/>
                <w:bCs/>
                <w:color w:val="auto"/>
                <w:sz w:val="24"/>
              </w:rPr>
              <w:t>safety</w:t>
            </w:r>
            <w:proofErr w:type="spellEnd"/>
            <w:r w:rsidRPr="00C32ACC">
              <w:rPr>
                <w:rFonts w:eastAsia="DINCE-Regular"/>
                <w:b w:val="0"/>
                <w:bCs/>
                <w:color w:val="auto"/>
                <w:sz w:val="24"/>
              </w:rPr>
              <w:t>) i „ochrona” (</w:t>
            </w:r>
            <w:proofErr w:type="spellStart"/>
            <w:r w:rsidRPr="00C32ACC">
              <w:rPr>
                <w:rFonts w:eastAsia="DINCE-Regular"/>
                <w:b w:val="0"/>
                <w:bCs/>
                <w:color w:val="auto"/>
                <w:sz w:val="24"/>
              </w:rPr>
              <w:t>security</w:t>
            </w:r>
            <w:proofErr w:type="spellEnd"/>
            <w:r w:rsidRPr="00C32ACC">
              <w:rPr>
                <w:rFonts w:eastAsia="DINCE-Regular"/>
                <w:b w:val="0"/>
                <w:bCs/>
                <w:color w:val="auto"/>
                <w:sz w:val="24"/>
              </w:rPr>
              <w:t>)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F32DB" w14:textId="5987183D" w:rsidR="00D316FA" w:rsidRPr="00C32ACC" w:rsidRDefault="00D316FA" w:rsidP="00D316FA">
            <w:pPr>
              <w:spacing w:line="276" w:lineRule="auto"/>
              <w:ind w:left="22"/>
              <w:rPr>
                <w:b w:val="0"/>
                <w:sz w:val="24"/>
              </w:rPr>
            </w:pPr>
            <w:r w:rsidRPr="00C32ACC">
              <w:rPr>
                <w:b w:val="0"/>
                <w:sz w:val="24"/>
              </w:rPr>
              <w:t>2</w:t>
            </w:r>
          </w:p>
        </w:tc>
      </w:tr>
      <w:tr w:rsidR="00D316FA" w:rsidRPr="00C32ACC" w14:paraId="43C1FB1D" w14:textId="77777777" w:rsidTr="6F749F37">
        <w:trPr>
          <w:trHeight w:val="396"/>
        </w:trPr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9A93F" w14:textId="77777777" w:rsidR="00D316FA" w:rsidRPr="00C32ACC" w:rsidRDefault="00D316FA" w:rsidP="00D316FA">
            <w:pPr>
              <w:spacing w:line="276" w:lineRule="auto"/>
              <w:ind w:left="0"/>
              <w:rPr>
                <w:sz w:val="24"/>
              </w:rPr>
            </w:pPr>
            <w:r w:rsidRPr="00C32ACC">
              <w:rPr>
                <w:b w:val="0"/>
                <w:sz w:val="24"/>
              </w:rPr>
              <w:t xml:space="preserve"> 3.</w:t>
            </w:r>
          </w:p>
        </w:tc>
        <w:tc>
          <w:tcPr>
            <w:tcW w:w="9469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ECE72" w14:textId="779C3926" w:rsidR="00D316FA" w:rsidRPr="00C32ACC" w:rsidRDefault="00D316FA" w:rsidP="00D316FA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C32ACC">
              <w:rPr>
                <w:rFonts w:eastAsia="DINCE-Regular"/>
                <w:b w:val="0"/>
                <w:bCs/>
                <w:color w:val="auto"/>
                <w:sz w:val="24"/>
              </w:rPr>
              <w:t>3. Źródła prawa europejskiego.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2DAD6" w14:textId="3396187C" w:rsidR="00D316FA" w:rsidRPr="00C32ACC" w:rsidRDefault="00D316FA" w:rsidP="00D316FA">
            <w:pPr>
              <w:spacing w:line="276" w:lineRule="auto"/>
              <w:ind w:left="22"/>
              <w:rPr>
                <w:sz w:val="24"/>
              </w:rPr>
            </w:pPr>
            <w:r w:rsidRPr="00C32ACC">
              <w:rPr>
                <w:b w:val="0"/>
                <w:sz w:val="24"/>
              </w:rPr>
              <w:t>2</w:t>
            </w:r>
          </w:p>
        </w:tc>
      </w:tr>
      <w:tr w:rsidR="00D316FA" w:rsidRPr="00C32ACC" w14:paraId="17D26A9B" w14:textId="77777777" w:rsidTr="6F749F37">
        <w:trPr>
          <w:trHeight w:val="396"/>
        </w:trPr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B6A4B" w14:textId="77777777" w:rsidR="00D316FA" w:rsidRPr="00C32ACC" w:rsidRDefault="00D316FA" w:rsidP="00D316FA">
            <w:pPr>
              <w:spacing w:line="276" w:lineRule="auto"/>
              <w:ind w:left="0"/>
              <w:rPr>
                <w:sz w:val="24"/>
              </w:rPr>
            </w:pPr>
            <w:r w:rsidRPr="00C32ACC">
              <w:rPr>
                <w:b w:val="0"/>
                <w:sz w:val="24"/>
              </w:rPr>
              <w:t xml:space="preserve"> 4.</w:t>
            </w:r>
          </w:p>
        </w:tc>
        <w:tc>
          <w:tcPr>
            <w:tcW w:w="9469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95DA4" w14:textId="77777777" w:rsidR="00D316FA" w:rsidRPr="00C32ACC" w:rsidRDefault="00D316FA" w:rsidP="00D316FA">
            <w:pPr>
              <w:autoSpaceDE w:val="0"/>
              <w:ind w:left="0"/>
              <w:rPr>
                <w:rFonts w:eastAsia="DINCE-Regular"/>
                <w:b w:val="0"/>
                <w:bCs/>
                <w:color w:val="auto"/>
                <w:sz w:val="24"/>
              </w:rPr>
            </w:pPr>
            <w:r w:rsidRPr="00C32ACC">
              <w:rPr>
                <w:rFonts w:eastAsia="DINCE-Regular"/>
                <w:b w:val="0"/>
                <w:bCs/>
                <w:color w:val="auto"/>
                <w:sz w:val="24"/>
              </w:rPr>
              <w:t>4. Źródła prawa krajowego, organy państwowe zajmujące się bezpieczeństwem i ochroną.</w:t>
            </w:r>
          </w:p>
          <w:p w14:paraId="7C9A39B6" w14:textId="77777777" w:rsidR="00D316FA" w:rsidRPr="00C32ACC" w:rsidRDefault="00D316FA" w:rsidP="00D316FA">
            <w:pPr>
              <w:autoSpaceDE w:val="0"/>
              <w:ind w:left="0"/>
              <w:rPr>
                <w:rFonts w:eastAsia="DINCE-Regular"/>
                <w:b w:val="0"/>
                <w:bCs/>
                <w:color w:val="auto"/>
                <w:sz w:val="24"/>
              </w:rPr>
            </w:pPr>
            <w:r w:rsidRPr="00C32ACC">
              <w:rPr>
                <w:rFonts w:eastAsia="DINCE-Regular"/>
                <w:b w:val="0"/>
                <w:bCs/>
                <w:color w:val="auto"/>
                <w:sz w:val="24"/>
              </w:rPr>
              <w:t>4.1. Ustawa Prawo lotnicze – przepisy dot. bezpieczeństwa i ochrony</w:t>
            </w:r>
          </w:p>
          <w:p w14:paraId="43A4F2DA" w14:textId="77777777" w:rsidR="00D316FA" w:rsidRPr="00C32ACC" w:rsidRDefault="00D316FA" w:rsidP="00D316FA">
            <w:pPr>
              <w:autoSpaceDE w:val="0"/>
              <w:ind w:left="0"/>
              <w:rPr>
                <w:rFonts w:eastAsia="DINCE-Regular"/>
                <w:b w:val="0"/>
                <w:bCs/>
                <w:color w:val="auto"/>
                <w:sz w:val="24"/>
              </w:rPr>
            </w:pPr>
            <w:r w:rsidRPr="00C32ACC">
              <w:rPr>
                <w:rFonts w:eastAsia="DINCE-Regular"/>
                <w:b w:val="0"/>
                <w:bCs/>
                <w:color w:val="auto"/>
                <w:sz w:val="24"/>
              </w:rPr>
              <w:t>4.2. Wybrane rozporządzenia ministerialne</w:t>
            </w:r>
          </w:p>
          <w:p w14:paraId="2A05793A" w14:textId="77777777" w:rsidR="00D316FA" w:rsidRPr="00C32ACC" w:rsidRDefault="00D316FA" w:rsidP="00D316FA">
            <w:pPr>
              <w:autoSpaceDE w:val="0"/>
              <w:ind w:left="0"/>
              <w:rPr>
                <w:rFonts w:eastAsia="DINCE-Regular"/>
                <w:b w:val="0"/>
                <w:bCs/>
                <w:color w:val="auto"/>
                <w:sz w:val="24"/>
              </w:rPr>
            </w:pPr>
            <w:r w:rsidRPr="00C32ACC">
              <w:rPr>
                <w:rFonts w:eastAsia="DINCE-Regular"/>
                <w:b w:val="0"/>
                <w:bCs/>
                <w:color w:val="auto"/>
                <w:sz w:val="24"/>
              </w:rPr>
              <w:t>4.3. Inne przepisy</w:t>
            </w:r>
          </w:p>
          <w:p w14:paraId="2F086C5B" w14:textId="77777777" w:rsidR="00D316FA" w:rsidRPr="00C32ACC" w:rsidRDefault="00D316FA" w:rsidP="00D316FA">
            <w:pPr>
              <w:autoSpaceDE w:val="0"/>
              <w:ind w:left="0"/>
              <w:rPr>
                <w:rFonts w:eastAsia="DINCE-Regular"/>
                <w:b w:val="0"/>
                <w:bCs/>
                <w:color w:val="auto"/>
                <w:sz w:val="24"/>
              </w:rPr>
            </w:pPr>
            <w:r w:rsidRPr="00C32ACC">
              <w:rPr>
                <w:rFonts w:eastAsia="DINCE-Regular"/>
                <w:b w:val="0"/>
                <w:bCs/>
                <w:color w:val="auto"/>
                <w:sz w:val="24"/>
              </w:rPr>
              <w:t>4.4. Standardy i przepisy wewnętrzne wybranych podmiotów lotniczych w Polsce</w:t>
            </w:r>
          </w:p>
          <w:p w14:paraId="2DB98229" w14:textId="7131A111" w:rsidR="00D316FA" w:rsidRPr="00C32ACC" w:rsidRDefault="00D316FA" w:rsidP="00D316FA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C32ACC">
              <w:rPr>
                <w:rFonts w:eastAsia="DINCE-Regular"/>
                <w:b w:val="0"/>
                <w:bCs/>
                <w:color w:val="auto"/>
                <w:sz w:val="24"/>
              </w:rPr>
              <w:t>4.5. Przegląd konwencji dot. ochrony lotnictwa.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31A3D" w14:textId="1EB0BC5B" w:rsidR="00D316FA" w:rsidRPr="00C32ACC" w:rsidRDefault="00D316FA" w:rsidP="00D316FA">
            <w:pPr>
              <w:spacing w:line="276" w:lineRule="auto"/>
              <w:ind w:left="22"/>
              <w:rPr>
                <w:sz w:val="24"/>
              </w:rPr>
            </w:pPr>
            <w:r w:rsidRPr="00C32ACC">
              <w:rPr>
                <w:b w:val="0"/>
                <w:sz w:val="24"/>
              </w:rPr>
              <w:t>2</w:t>
            </w:r>
          </w:p>
        </w:tc>
      </w:tr>
      <w:tr w:rsidR="00D316FA" w:rsidRPr="00C32ACC" w14:paraId="60F80C13" w14:textId="77777777" w:rsidTr="6F749F37">
        <w:trPr>
          <w:trHeight w:val="396"/>
        </w:trPr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08AFB" w14:textId="77777777" w:rsidR="00D316FA" w:rsidRPr="00C32ACC" w:rsidRDefault="00D316FA" w:rsidP="00D316FA">
            <w:pPr>
              <w:spacing w:line="276" w:lineRule="auto"/>
              <w:ind w:left="0"/>
              <w:rPr>
                <w:sz w:val="24"/>
              </w:rPr>
            </w:pPr>
            <w:r w:rsidRPr="00C32ACC">
              <w:rPr>
                <w:b w:val="0"/>
                <w:sz w:val="24"/>
              </w:rPr>
              <w:t xml:space="preserve"> 5.</w:t>
            </w:r>
          </w:p>
        </w:tc>
        <w:tc>
          <w:tcPr>
            <w:tcW w:w="9469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0B4BE" w14:textId="17FD0A5B" w:rsidR="00D316FA" w:rsidRPr="00C32ACC" w:rsidRDefault="00D316FA" w:rsidP="00D316FA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C32ACC">
              <w:rPr>
                <w:rFonts w:eastAsia="DINCE-Regular"/>
                <w:b w:val="0"/>
                <w:bCs/>
                <w:color w:val="auto"/>
                <w:sz w:val="24"/>
              </w:rPr>
              <w:t>5. Regulacje dot. bezpieczeństwa lotniczego w wybranych krajach świata poza UE.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2DD14" w14:textId="2157023E" w:rsidR="00D316FA" w:rsidRPr="00C32ACC" w:rsidRDefault="00D316FA" w:rsidP="00D316FA">
            <w:pPr>
              <w:spacing w:line="276" w:lineRule="auto"/>
              <w:ind w:left="22"/>
              <w:rPr>
                <w:sz w:val="24"/>
              </w:rPr>
            </w:pPr>
            <w:r w:rsidRPr="00C32ACC">
              <w:rPr>
                <w:sz w:val="24"/>
              </w:rPr>
              <w:t>2</w:t>
            </w:r>
          </w:p>
        </w:tc>
      </w:tr>
      <w:tr w:rsidR="00D316FA" w:rsidRPr="00C32ACC" w14:paraId="5CC9AD68" w14:textId="77777777" w:rsidTr="6F749F37">
        <w:trPr>
          <w:trHeight w:val="396"/>
        </w:trPr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41D81" w14:textId="77777777" w:rsidR="00D316FA" w:rsidRPr="00C32ACC" w:rsidRDefault="00D316FA" w:rsidP="00D316FA">
            <w:pPr>
              <w:spacing w:line="276" w:lineRule="auto"/>
              <w:ind w:left="0"/>
              <w:rPr>
                <w:sz w:val="24"/>
              </w:rPr>
            </w:pPr>
            <w:r w:rsidRPr="00C32ACC">
              <w:rPr>
                <w:b w:val="0"/>
                <w:sz w:val="24"/>
              </w:rPr>
              <w:t xml:space="preserve"> 6.</w:t>
            </w:r>
          </w:p>
        </w:tc>
        <w:tc>
          <w:tcPr>
            <w:tcW w:w="9469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2FE3A" w14:textId="77777777" w:rsidR="00D316FA" w:rsidRPr="00C32ACC" w:rsidRDefault="00D316FA" w:rsidP="00D316FA">
            <w:pPr>
              <w:autoSpaceDE w:val="0"/>
              <w:ind w:left="0"/>
              <w:jc w:val="both"/>
              <w:rPr>
                <w:rFonts w:eastAsia="DINCE-Regular"/>
                <w:b w:val="0"/>
                <w:bCs/>
                <w:color w:val="auto"/>
                <w:sz w:val="24"/>
              </w:rPr>
            </w:pPr>
            <w:r w:rsidRPr="00C32ACC">
              <w:rPr>
                <w:rFonts w:eastAsia="DINCE-Regular"/>
                <w:b w:val="0"/>
                <w:bCs/>
                <w:color w:val="auto"/>
                <w:sz w:val="24"/>
              </w:rPr>
              <w:t>6. Zmiany w regulacjach dot. transformacji cyfrowej i zielonej.</w:t>
            </w:r>
          </w:p>
          <w:p w14:paraId="7E1CA737" w14:textId="795FE79C" w:rsidR="00D316FA" w:rsidRPr="00C32ACC" w:rsidRDefault="00D316FA" w:rsidP="00D316FA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C32ACC">
              <w:rPr>
                <w:rFonts w:eastAsia="DINCE-Regular"/>
                <w:b w:val="0"/>
                <w:bCs/>
                <w:color w:val="auto"/>
                <w:sz w:val="24"/>
              </w:rPr>
              <w:t>6.1. Regulacje dot. bezzałogowych statków powietrznych.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7E284" w14:textId="4182E515" w:rsidR="00D316FA" w:rsidRPr="00C32ACC" w:rsidRDefault="00D316FA" w:rsidP="00D316FA">
            <w:pPr>
              <w:spacing w:line="276" w:lineRule="auto"/>
              <w:ind w:left="22"/>
              <w:rPr>
                <w:sz w:val="24"/>
              </w:rPr>
            </w:pPr>
            <w:r w:rsidRPr="00C32ACC">
              <w:rPr>
                <w:b w:val="0"/>
                <w:sz w:val="24"/>
              </w:rPr>
              <w:t>2</w:t>
            </w:r>
          </w:p>
        </w:tc>
      </w:tr>
      <w:tr w:rsidR="00D316FA" w:rsidRPr="00C32ACC" w14:paraId="79D3C594" w14:textId="77777777" w:rsidTr="6F749F37">
        <w:trPr>
          <w:trHeight w:val="396"/>
        </w:trPr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E4540" w14:textId="77777777" w:rsidR="00D316FA" w:rsidRPr="00C32ACC" w:rsidRDefault="00D316FA" w:rsidP="00D316FA">
            <w:pPr>
              <w:spacing w:line="276" w:lineRule="auto"/>
              <w:ind w:left="0"/>
              <w:rPr>
                <w:sz w:val="24"/>
              </w:rPr>
            </w:pPr>
            <w:r w:rsidRPr="00C32ACC">
              <w:rPr>
                <w:b w:val="0"/>
                <w:sz w:val="24"/>
              </w:rPr>
              <w:t xml:space="preserve"> 7.</w:t>
            </w:r>
          </w:p>
        </w:tc>
        <w:tc>
          <w:tcPr>
            <w:tcW w:w="9469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37340" w14:textId="6F454521" w:rsidR="00D316FA" w:rsidRPr="00C32ACC" w:rsidRDefault="00D316FA" w:rsidP="00D316FA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C32ACC">
              <w:rPr>
                <w:rFonts w:eastAsia="DINCE-Regular"/>
                <w:b w:val="0"/>
                <w:bCs/>
                <w:color w:val="auto"/>
                <w:sz w:val="24"/>
              </w:rPr>
              <w:t xml:space="preserve">7.Wewnętrzne akty operacyjne linii lotniczych i </w:t>
            </w:r>
            <w:proofErr w:type="spellStart"/>
            <w:r w:rsidRPr="00C32ACC">
              <w:rPr>
                <w:rFonts w:eastAsia="DINCE-Regular"/>
                <w:b w:val="0"/>
                <w:bCs/>
                <w:color w:val="auto"/>
                <w:sz w:val="24"/>
              </w:rPr>
              <w:t>letters</w:t>
            </w:r>
            <w:proofErr w:type="spellEnd"/>
            <w:r w:rsidRPr="00C32ACC">
              <w:rPr>
                <w:rFonts w:eastAsia="DINCE-Regular"/>
                <w:b w:val="0"/>
                <w:bCs/>
                <w:color w:val="auto"/>
                <w:sz w:val="24"/>
              </w:rPr>
              <w:t xml:space="preserve"> of </w:t>
            </w:r>
            <w:proofErr w:type="spellStart"/>
            <w:r w:rsidRPr="00C32ACC">
              <w:rPr>
                <w:rFonts w:eastAsia="DINCE-Regular"/>
                <w:b w:val="0"/>
                <w:bCs/>
                <w:color w:val="auto"/>
                <w:sz w:val="24"/>
              </w:rPr>
              <w:t>agreement</w:t>
            </w:r>
            <w:proofErr w:type="spellEnd"/>
            <w:r w:rsidRPr="00C32ACC">
              <w:rPr>
                <w:rFonts w:eastAsia="DINCE-Regular"/>
                <w:b w:val="0"/>
                <w:bCs/>
                <w:color w:val="auto"/>
                <w:sz w:val="24"/>
              </w:rPr>
              <w:t>.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957A3" w14:textId="75D32C60" w:rsidR="00D316FA" w:rsidRPr="00C32ACC" w:rsidRDefault="00D316FA" w:rsidP="00D316FA">
            <w:pPr>
              <w:spacing w:line="276" w:lineRule="auto"/>
              <w:ind w:left="22"/>
              <w:rPr>
                <w:sz w:val="24"/>
              </w:rPr>
            </w:pPr>
            <w:r w:rsidRPr="00C32ACC">
              <w:rPr>
                <w:b w:val="0"/>
                <w:sz w:val="24"/>
              </w:rPr>
              <w:t>2</w:t>
            </w:r>
          </w:p>
        </w:tc>
      </w:tr>
      <w:tr w:rsidR="00D316FA" w:rsidRPr="00C32ACC" w14:paraId="74D0A1B0" w14:textId="77777777" w:rsidTr="6F749F37">
        <w:trPr>
          <w:trHeight w:val="396"/>
        </w:trPr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FB5E7" w14:textId="77777777" w:rsidR="00D316FA" w:rsidRPr="00C32ACC" w:rsidRDefault="00D316FA" w:rsidP="00D316FA">
            <w:pPr>
              <w:spacing w:line="276" w:lineRule="auto"/>
              <w:ind w:left="0"/>
              <w:rPr>
                <w:sz w:val="24"/>
              </w:rPr>
            </w:pPr>
            <w:r w:rsidRPr="00C32ACC">
              <w:rPr>
                <w:b w:val="0"/>
                <w:sz w:val="24"/>
              </w:rPr>
              <w:t xml:space="preserve"> 8.</w:t>
            </w:r>
          </w:p>
        </w:tc>
        <w:tc>
          <w:tcPr>
            <w:tcW w:w="9469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23191" w14:textId="4F79EDC3" w:rsidR="00D316FA" w:rsidRPr="00C32ACC" w:rsidRDefault="00D316FA" w:rsidP="00D316FA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C32ACC">
              <w:rPr>
                <w:rFonts w:eastAsia="DINCE-Regular"/>
                <w:b w:val="0"/>
                <w:bCs/>
                <w:color w:val="auto"/>
                <w:sz w:val="24"/>
              </w:rPr>
              <w:t>8.Sankcje karne i administracyjne w lotnictwie.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44890" w14:textId="54A8EAAC" w:rsidR="00D316FA" w:rsidRPr="00C32ACC" w:rsidRDefault="00D316FA" w:rsidP="00D316FA">
            <w:pPr>
              <w:spacing w:line="276" w:lineRule="auto"/>
              <w:ind w:left="22"/>
              <w:rPr>
                <w:sz w:val="24"/>
              </w:rPr>
            </w:pPr>
            <w:r w:rsidRPr="00C32ACC">
              <w:rPr>
                <w:b w:val="0"/>
                <w:sz w:val="24"/>
              </w:rPr>
              <w:t>2</w:t>
            </w:r>
          </w:p>
        </w:tc>
      </w:tr>
      <w:tr w:rsidR="00D316FA" w:rsidRPr="00C32ACC" w14:paraId="2CE2DA5B" w14:textId="77777777" w:rsidTr="6F749F37">
        <w:trPr>
          <w:trHeight w:val="396"/>
        </w:trPr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82BDB" w14:textId="26B20773" w:rsidR="00D316FA" w:rsidRPr="00C32ACC" w:rsidRDefault="00D316FA" w:rsidP="00D316FA">
            <w:pPr>
              <w:spacing w:line="276" w:lineRule="auto"/>
              <w:ind w:left="0"/>
              <w:jc w:val="center"/>
              <w:rPr>
                <w:b w:val="0"/>
                <w:sz w:val="24"/>
              </w:rPr>
            </w:pPr>
            <w:r w:rsidRPr="00C32ACC">
              <w:rPr>
                <w:b w:val="0"/>
                <w:sz w:val="24"/>
              </w:rPr>
              <w:lastRenderedPageBreak/>
              <w:t>9.</w:t>
            </w:r>
          </w:p>
        </w:tc>
        <w:tc>
          <w:tcPr>
            <w:tcW w:w="9469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76212" w14:textId="257F6E72" w:rsidR="00D316FA" w:rsidRPr="00C32ACC" w:rsidRDefault="00D316FA" w:rsidP="00D316FA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C32ACC">
              <w:rPr>
                <w:rStyle w:val="Domylnaczcionkaakapitu1"/>
                <w:rFonts w:eastAsia="DINCE-Regular"/>
                <w:b w:val="0"/>
                <w:bCs/>
                <w:color w:val="auto"/>
                <w:sz w:val="24"/>
              </w:rPr>
              <w:t>9.Wyzwania we wdrażaniu standardów bezpieczeństwa w różnych regionach świata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A53F0" w14:textId="2DDCC8F9" w:rsidR="00D316FA" w:rsidRPr="00C32ACC" w:rsidRDefault="00D316FA" w:rsidP="00D316FA">
            <w:pPr>
              <w:spacing w:line="276" w:lineRule="auto"/>
              <w:ind w:left="22"/>
              <w:rPr>
                <w:b w:val="0"/>
                <w:sz w:val="24"/>
              </w:rPr>
            </w:pPr>
            <w:r w:rsidRPr="00C32ACC">
              <w:rPr>
                <w:b w:val="0"/>
                <w:sz w:val="24"/>
              </w:rPr>
              <w:t>2</w:t>
            </w:r>
          </w:p>
        </w:tc>
      </w:tr>
      <w:tr w:rsidR="00D316FA" w:rsidRPr="00C32ACC" w14:paraId="6BFB6DB5" w14:textId="77777777" w:rsidTr="6F749F37">
        <w:trPr>
          <w:trHeight w:val="396"/>
        </w:trPr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F73B9" w14:textId="0E7DB8EE" w:rsidR="00D316FA" w:rsidRPr="00C32ACC" w:rsidRDefault="00D316FA" w:rsidP="00D316FA">
            <w:pPr>
              <w:spacing w:line="276" w:lineRule="auto"/>
              <w:ind w:left="0"/>
              <w:jc w:val="center"/>
              <w:rPr>
                <w:b w:val="0"/>
                <w:sz w:val="24"/>
              </w:rPr>
            </w:pPr>
            <w:r w:rsidRPr="00C32ACC">
              <w:rPr>
                <w:b w:val="0"/>
                <w:sz w:val="24"/>
              </w:rPr>
              <w:t>10.</w:t>
            </w:r>
          </w:p>
        </w:tc>
        <w:tc>
          <w:tcPr>
            <w:tcW w:w="9469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766C8" w14:textId="79303445" w:rsidR="00D316FA" w:rsidRPr="00C32ACC" w:rsidRDefault="00D316FA" w:rsidP="00D316FA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C32ACC">
              <w:rPr>
                <w:rStyle w:val="Domylnaczcionkaakapitu1"/>
                <w:rFonts w:eastAsia="DINCE-Regular"/>
                <w:b w:val="0"/>
                <w:bCs/>
                <w:color w:val="auto"/>
                <w:sz w:val="24"/>
                <w:lang w:val="en-US"/>
              </w:rPr>
              <w:t>10.European Centre for Cybersecurity in Aviation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EFA0B" w14:textId="0A16B48E" w:rsidR="00D316FA" w:rsidRPr="00C32ACC" w:rsidRDefault="00D316FA" w:rsidP="00D316FA">
            <w:pPr>
              <w:spacing w:line="276" w:lineRule="auto"/>
              <w:ind w:left="22"/>
              <w:rPr>
                <w:b w:val="0"/>
                <w:sz w:val="24"/>
              </w:rPr>
            </w:pPr>
            <w:r w:rsidRPr="00C32ACC">
              <w:rPr>
                <w:b w:val="0"/>
                <w:sz w:val="24"/>
              </w:rPr>
              <w:t>2</w:t>
            </w:r>
          </w:p>
        </w:tc>
      </w:tr>
      <w:tr w:rsidR="00D316FA" w:rsidRPr="00C32ACC" w14:paraId="682A3B5D" w14:textId="77777777" w:rsidTr="6F749F37">
        <w:trPr>
          <w:trHeight w:val="455"/>
        </w:trPr>
        <w:tc>
          <w:tcPr>
            <w:tcW w:w="10772" w:type="dxa"/>
            <w:gridSpan w:val="8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59BE198" w14:textId="77777777" w:rsidR="00D316FA" w:rsidRPr="00C32ACC" w:rsidRDefault="00D316FA" w:rsidP="00D316FA">
            <w:pPr>
              <w:spacing w:line="276" w:lineRule="auto"/>
              <w:ind w:left="65"/>
              <w:rPr>
                <w:sz w:val="24"/>
              </w:rPr>
            </w:pPr>
            <w:r w:rsidRPr="00C32ACC">
              <w:rPr>
                <w:sz w:val="24"/>
              </w:rPr>
              <w:t>Warunki i formy zaliczenia</w:t>
            </w:r>
          </w:p>
        </w:tc>
      </w:tr>
      <w:tr w:rsidR="00D316FA" w:rsidRPr="00C32ACC" w14:paraId="35E9EB15" w14:textId="77777777" w:rsidTr="6F749F37">
        <w:trPr>
          <w:trHeight w:val="458"/>
        </w:trPr>
        <w:tc>
          <w:tcPr>
            <w:tcW w:w="32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7345300" w14:textId="77777777" w:rsidR="00D316FA" w:rsidRPr="00C32ACC" w:rsidRDefault="00D316FA" w:rsidP="00D316FA">
            <w:pPr>
              <w:spacing w:line="276" w:lineRule="auto"/>
              <w:ind w:left="68"/>
              <w:rPr>
                <w:sz w:val="24"/>
              </w:rPr>
            </w:pPr>
            <w:r w:rsidRPr="00C32ACC">
              <w:rPr>
                <w:sz w:val="24"/>
              </w:rPr>
              <w:t>Forma zajęć</w:t>
            </w: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D60F646" w14:textId="77777777" w:rsidR="00D316FA" w:rsidRPr="00C32ACC" w:rsidRDefault="00D316FA" w:rsidP="00D316FA">
            <w:pPr>
              <w:spacing w:line="276" w:lineRule="auto"/>
              <w:ind w:left="12"/>
              <w:rPr>
                <w:sz w:val="24"/>
              </w:rPr>
            </w:pPr>
            <w:r w:rsidRPr="00C32ACC">
              <w:rPr>
                <w:sz w:val="24"/>
              </w:rPr>
              <w:t>Metoda weryfikacji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BD4BC03" w14:textId="77777777" w:rsidR="00D316FA" w:rsidRPr="00C32ACC" w:rsidRDefault="00D316FA" w:rsidP="00D316FA">
            <w:pPr>
              <w:spacing w:line="276" w:lineRule="auto"/>
              <w:ind w:left="12"/>
              <w:rPr>
                <w:sz w:val="24"/>
              </w:rPr>
            </w:pPr>
            <w:r w:rsidRPr="00C32ACC">
              <w:rPr>
                <w:sz w:val="24"/>
              </w:rPr>
              <w:t>Waga</w:t>
            </w:r>
          </w:p>
        </w:tc>
        <w:tc>
          <w:tcPr>
            <w:tcW w:w="22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B3D9E2C" w14:textId="77777777" w:rsidR="00D316FA" w:rsidRPr="00C32ACC" w:rsidRDefault="00D316FA" w:rsidP="00D316FA">
            <w:pPr>
              <w:spacing w:line="276" w:lineRule="auto"/>
              <w:ind w:left="10"/>
              <w:rPr>
                <w:sz w:val="24"/>
              </w:rPr>
            </w:pPr>
            <w:r w:rsidRPr="00C32ACC">
              <w:rPr>
                <w:sz w:val="24"/>
              </w:rPr>
              <w:t>Procent</w:t>
            </w:r>
          </w:p>
        </w:tc>
      </w:tr>
      <w:tr w:rsidR="00D316FA" w:rsidRPr="00C32ACC" w14:paraId="746AE24C" w14:textId="77777777" w:rsidTr="6F749F37">
        <w:trPr>
          <w:trHeight w:val="460"/>
        </w:trPr>
        <w:tc>
          <w:tcPr>
            <w:tcW w:w="32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C4A16" w14:textId="77777777" w:rsidR="00D316FA" w:rsidRPr="00C32ACC" w:rsidRDefault="00D316FA" w:rsidP="00D316FA">
            <w:pPr>
              <w:spacing w:line="276" w:lineRule="auto"/>
              <w:ind w:left="70"/>
              <w:rPr>
                <w:sz w:val="24"/>
              </w:rPr>
            </w:pPr>
            <w:r w:rsidRPr="00C32ACC">
              <w:rPr>
                <w:b w:val="0"/>
                <w:sz w:val="24"/>
              </w:rPr>
              <w:t>Konwersatorium</w:t>
            </w: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E31672" w14:textId="4ADAC631" w:rsidR="00D316FA" w:rsidRPr="00C32ACC" w:rsidRDefault="00D316FA" w:rsidP="00D316FA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C32ACC">
              <w:rPr>
                <w:b w:val="0"/>
                <w:bCs/>
                <w:sz w:val="24"/>
              </w:rPr>
              <w:t>Zaliczenie (praca zaliczeniowa)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E0CED5" w14:textId="582D4BFE" w:rsidR="00D316FA" w:rsidRPr="00C32ACC" w:rsidRDefault="00D316FA" w:rsidP="00D316FA">
            <w:pPr>
              <w:spacing w:line="276" w:lineRule="auto"/>
              <w:ind w:left="68"/>
              <w:rPr>
                <w:b w:val="0"/>
                <w:bCs/>
                <w:sz w:val="24"/>
              </w:rPr>
            </w:pPr>
            <w:r w:rsidRPr="00C32ACC">
              <w:rPr>
                <w:b w:val="0"/>
                <w:bCs/>
                <w:sz w:val="24"/>
              </w:rPr>
              <w:t>100</w:t>
            </w:r>
          </w:p>
        </w:tc>
        <w:tc>
          <w:tcPr>
            <w:tcW w:w="22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B9CCB" w14:textId="7CA90A73" w:rsidR="00D316FA" w:rsidRPr="00C32ACC" w:rsidRDefault="00D316FA" w:rsidP="00D316FA">
            <w:pPr>
              <w:spacing w:line="276" w:lineRule="auto"/>
              <w:ind w:left="69"/>
              <w:rPr>
                <w:sz w:val="24"/>
              </w:rPr>
            </w:pPr>
            <w:r w:rsidRPr="00C32ACC">
              <w:rPr>
                <w:b w:val="0"/>
                <w:sz w:val="24"/>
              </w:rPr>
              <w:t>100,00 %</w:t>
            </w:r>
          </w:p>
        </w:tc>
      </w:tr>
      <w:tr w:rsidR="00D316FA" w:rsidRPr="00C32ACC" w14:paraId="33109E50" w14:textId="77777777" w:rsidTr="6F749F37">
        <w:trPr>
          <w:trHeight w:val="542"/>
        </w:trPr>
        <w:tc>
          <w:tcPr>
            <w:tcW w:w="32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1D9E0FFF" w14:textId="77777777" w:rsidR="00D316FA" w:rsidRPr="00C32ACC" w:rsidRDefault="00D316FA" w:rsidP="00D316FA">
            <w:pPr>
              <w:spacing w:line="276" w:lineRule="auto"/>
              <w:ind w:left="70"/>
              <w:rPr>
                <w:sz w:val="24"/>
              </w:rPr>
            </w:pPr>
            <w:r w:rsidRPr="00C32ACC">
              <w:rPr>
                <w:sz w:val="24"/>
              </w:rPr>
              <w:t>Informacja dodatkowa dotycząca zaliczenia</w:t>
            </w:r>
          </w:p>
        </w:tc>
        <w:tc>
          <w:tcPr>
            <w:tcW w:w="74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87BC2" w14:textId="77777777" w:rsidR="00D316FA" w:rsidRPr="00C32ACC" w:rsidRDefault="00D316FA" w:rsidP="00D316FA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D316FA" w:rsidRPr="00C32ACC" w14:paraId="61F8D819" w14:textId="77777777" w:rsidTr="6F749F37">
        <w:trPr>
          <w:trHeight w:val="416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F963EED" w14:textId="77777777" w:rsidR="00D316FA" w:rsidRPr="00C32ACC" w:rsidRDefault="00D316FA" w:rsidP="00D316FA">
            <w:pPr>
              <w:spacing w:line="276" w:lineRule="auto"/>
              <w:ind w:left="66"/>
              <w:rPr>
                <w:sz w:val="24"/>
              </w:rPr>
            </w:pPr>
            <w:r w:rsidRPr="00C32ACC">
              <w:rPr>
                <w:sz w:val="24"/>
              </w:rPr>
              <w:t>Zagadnienia realizowane w ramach pracy własnej studenta</w:t>
            </w:r>
          </w:p>
        </w:tc>
      </w:tr>
      <w:tr w:rsidR="00D316FA" w:rsidRPr="00C32ACC" w14:paraId="062DEEFA" w14:textId="77777777" w:rsidTr="6F749F37">
        <w:trPr>
          <w:trHeight w:val="426"/>
        </w:trPr>
        <w:tc>
          <w:tcPr>
            <w:tcW w:w="12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287144C" w14:textId="77777777" w:rsidR="00D316FA" w:rsidRPr="00C32ACC" w:rsidRDefault="00D316FA" w:rsidP="00D316FA">
            <w:pPr>
              <w:spacing w:line="276" w:lineRule="auto"/>
              <w:ind w:left="66"/>
              <w:rPr>
                <w:sz w:val="24"/>
              </w:rPr>
            </w:pPr>
            <w:r w:rsidRPr="00C32ACC">
              <w:rPr>
                <w:sz w:val="24"/>
              </w:rPr>
              <w:t>L.p.</w:t>
            </w:r>
          </w:p>
        </w:tc>
        <w:tc>
          <w:tcPr>
            <w:tcW w:w="72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3225996" w14:textId="77777777" w:rsidR="00D316FA" w:rsidRPr="00C32ACC" w:rsidRDefault="00D316FA" w:rsidP="00D316FA">
            <w:pPr>
              <w:spacing w:line="276" w:lineRule="auto"/>
              <w:ind w:left="67"/>
              <w:rPr>
                <w:sz w:val="24"/>
              </w:rPr>
            </w:pPr>
            <w:r w:rsidRPr="00C32ACC">
              <w:rPr>
                <w:sz w:val="24"/>
              </w:rPr>
              <w:t>Opis</w:t>
            </w:r>
          </w:p>
        </w:tc>
        <w:tc>
          <w:tcPr>
            <w:tcW w:w="1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47D3AF40" w14:textId="77777777" w:rsidR="00D316FA" w:rsidRPr="00C32ACC" w:rsidRDefault="00D316FA" w:rsidP="00D316FA">
            <w:pPr>
              <w:spacing w:line="276" w:lineRule="auto"/>
              <w:ind w:left="30"/>
              <w:rPr>
                <w:sz w:val="24"/>
              </w:rPr>
            </w:pPr>
            <w:r w:rsidRPr="00C32ACC">
              <w:rPr>
                <w:sz w:val="24"/>
              </w:rPr>
              <w:t xml:space="preserve">Liczba godzin: 75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EF70956" w14:textId="77777777" w:rsidR="00D316FA" w:rsidRPr="00C32ACC" w:rsidRDefault="00D316FA" w:rsidP="00D316FA">
            <w:pPr>
              <w:spacing w:line="276" w:lineRule="auto"/>
              <w:ind w:left="69"/>
              <w:rPr>
                <w:sz w:val="24"/>
              </w:rPr>
            </w:pPr>
            <w:r w:rsidRPr="00C32ACC">
              <w:rPr>
                <w:sz w:val="24"/>
              </w:rPr>
              <w:t>ECTS</w:t>
            </w:r>
          </w:p>
        </w:tc>
      </w:tr>
      <w:tr w:rsidR="00D316FA" w:rsidRPr="00C32ACC" w14:paraId="5F3FE4E9" w14:textId="77777777" w:rsidTr="6F749F37">
        <w:trPr>
          <w:trHeight w:val="546"/>
        </w:trPr>
        <w:tc>
          <w:tcPr>
            <w:tcW w:w="12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5B248" w14:textId="77777777" w:rsidR="00D316FA" w:rsidRPr="00C32ACC" w:rsidRDefault="00D316FA" w:rsidP="00D316FA">
            <w:pPr>
              <w:spacing w:line="276" w:lineRule="auto"/>
              <w:ind w:left="70"/>
              <w:rPr>
                <w:sz w:val="24"/>
              </w:rPr>
            </w:pPr>
            <w:r w:rsidRPr="00C32ACC">
              <w:rPr>
                <w:b w:val="0"/>
                <w:sz w:val="24"/>
              </w:rPr>
              <w:t>1.</w:t>
            </w:r>
          </w:p>
        </w:tc>
        <w:tc>
          <w:tcPr>
            <w:tcW w:w="72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05363E" w14:textId="77777777" w:rsidR="00D316FA" w:rsidRPr="00C32ACC" w:rsidRDefault="00D316FA" w:rsidP="00D316FA">
            <w:pPr>
              <w:spacing w:line="276" w:lineRule="auto"/>
              <w:ind w:left="70"/>
              <w:rPr>
                <w:sz w:val="24"/>
              </w:rPr>
            </w:pPr>
            <w:r w:rsidRPr="00C32ACC">
              <w:rPr>
                <w:b w:val="0"/>
                <w:sz w:val="24"/>
              </w:rPr>
              <w:t xml:space="preserve">przygotowanie do zaliczenia </w:t>
            </w:r>
          </w:p>
        </w:tc>
        <w:tc>
          <w:tcPr>
            <w:tcW w:w="1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FECA4E" w14:textId="77777777" w:rsidR="00D316FA" w:rsidRPr="00C32ACC" w:rsidRDefault="00D316FA" w:rsidP="00D316FA">
            <w:pPr>
              <w:spacing w:line="276" w:lineRule="auto"/>
              <w:ind w:left="70"/>
              <w:rPr>
                <w:sz w:val="24"/>
              </w:rPr>
            </w:pPr>
            <w:r w:rsidRPr="00C32ACC">
              <w:rPr>
                <w:b w:val="0"/>
                <w:sz w:val="24"/>
              </w:rPr>
              <w:t xml:space="preserve">25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4A94F" w14:textId="52D61B55" w:rsidR="00D316FA" w:rsidRPr="00C32ACC" w:rsidRDefault="00D316FA" w:rsidP="00D316FA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D316FA" w:rsidRPr="00C32ACC" w14:paraId="21CCD5F0" w14:textId="77777777" w:rsidTr="6F749F37">
        <w:trPr>
          <w:trHeight w:val="542"/>
        </w:trPr>
        <w:tc>
          <w:tcPr>
            <w:tcW w:w="12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D94BD" w14:textId="77777777" w:rsidR="00D316FA" w:rsidRPr="00C32ACC" w:rsidRDefault="00D316FA" w:rsidP="00D316FA">
            <w:pPr>
              <w:spacing w:line="276" w:lineRule="auto"/>
              <w:ind w:left="70"/>
              <w:rPr>
                <w:sz w:val="24"/>
              </w:rPr>
            </w:pPr>
            <w:r w:rsidRPr="00C32ACC">
              <w:rPr>
                <w:b w:val="0"/>
                <w:sz w:val="24"/>
              </w:rPr>
              <w:t>2.</w:t>
            </w:r>
          </w:p>
        </w:tc>
        <w:tc>
          <w:tcPr>
            <w:tcW w:w="72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FF0A7" w14:textId="77777777" w:rsidR="00D316FA" w:rsidRPr="00C32ACC" w:rsidRDefault="00D316FA" w:rsidP="00D316FA">
            <w:pPr>
              <w:spacing w:line="276" w:lineRule="auto"/>
              <w:ind w:left="70"/>
              <w:rPr>
                <w:sz w:val="24"/>
              </w:rPr>
            </w:pPr>
            <w:r w:rsidRPr="00C32ACC">
              <w:rPr>
                <w:b w:val="0"/>
                <w:sz w:val="24"/>
              </w:rPr>
              <w:t>przygotowanie się do opracowania kazusów w trakcie zajęć i dyskusji</w:t>
            </w:r>
          </w:p>
        </w:tc>
        <w:tc>
          <w:tcPr>
            <w:tcW w:w="1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3FEFEA" w14:textId="77777777" w:rsidR="00D316FA" w:rsidRPr="00C32ACC" w:rsidRDefault="00D316FA" w:rsidP="00D316FA">
            <w:pPr>
              <w:spacing w:line="276" w:lineRule="auto"/>
              <w:ind w:left="70"/>
              <w:rPr>
                <w:sz w:val="24"/>
              </w:rPr>
            </w:pPr>
            <w:r w:rsidRPr="00C32ACC">
              <w:rPr>
                <w:b w:val="0"/>
                <w:sz w:val="24"/>
              </w:rPr>
              <w:t xml:space="preserve">25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98E82" w14:textId="7AE37407" w:rsidR="00D316FA" w:rsidRPr="00C32ACC" w:rsidRDefault="00D316FA" w:rsidP="00D316FA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D316FA" w:rsidRPr="00C32ACC" w14:paraId="0ED00139" w14:textId="77777777" w:rsidTr="6F749F37">
        <w:trPr>
          <w:trHeight w:val="543"/>
        </w:trPr>
        <w:tc>
          <w:tcPr>
            <w:tcW w:w="12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82151" w14:textId="77777777" w:rsidR="00D316FA" w:rsidRPr="00C32ACC" w:rsidRDefault="00D316FA" w:rsidP="00D316FA">
            <w:pPr>
              <w:spacing w:line="276" w:lineRule="auto"/>
              <w:ind w:left="70"/>
              <w:rPr>
                <w:sz w:val="24"/>
              </w:rPr>
            </w:pPr>
            <w:r w:rsidRPr="00C32ACC">
              <w:rPr>
                <w:b w:val="0"/>
                <w:sz w:val="24"/>
              </w:rPr>
              <w:t>3.</w:t>
            </w:r>
          </w:p>
        </w:tc>
        <w:tc>
          <w:tcPr>
            <w:tcW w:w="72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63050D" w14:textId="77777777" w:rsidR="00D316FA" w:rsidRPr="00C32ACC" w:rsidRDefault="00D316FA" w:rsidP="00D316FA">
            <w:pPr>
              <w:spacing w:line="276" w:lineRule="auto"/>
              <w:ind w:left="70"/>
              <w:rPr>
                <w:sz w:val="24"/>
              </w:rPr>
            </w:pPr>
            <w:r w:rsidRPr="00C32ACC">
              <w:rPr>
                <w:b w:val="0"/>
                <w:sz w:val="24"/>
              </w:rPr>
              <w:t>opracowanie referatu/projektu</w:t>
            </w:r>
          </w:p>
        </w:tc>
        <w:tc>
          <w:tcPr>
            <w:tcW w:w="1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5C1C0" w14:textId="77777777" w:rsidR="00D316FA" w:rsidRPr="00C32ACC" w:rsidRDefault="00D316FA" w:rsidP="00D316FA">
            <w:pPr>
              <w:spacing w:line="276" w:lineRule="auto"/>
              <w:ind w:left="70"/>
              <w:rPr>
                <w:sz w:val="24"/>
              </w:rPr>
            </w:pPr>
            <w:r w:rsidRPr="00C32ACC">
              <w:rPr>
                <w:b w:val="0"/>
                <w:sz w:val="24"/>
              </w:rPr>
              <w:t xml:space="preserve">25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A5C33" w14:textId="02E71CD2" w:rsidR="00D316FA" w:rsidRPr="00C32ACC" w:rsidRDefault="00D316FA" w:rsidP="00D316FA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D316FA" w:rsidRPr="00C32ACC" w14:paraId="0B211F56" w14:textId="77777777" w:rsidTr="6F749F37">
        <w:trPr>
          <w:trHeight w:val="465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CCBA260" w14:textId="77777777" w:rsidR="00D316FA" w:rsidRPr="00C32ACC" w:rsidRDefault="00D316FA" w:rsidP="00D316FA">
            <w:pPr>
              <w:spacing w:line="276" w:lineRule="auto"/>
              <w:ind w:left="67"/>
              <w:rPr>
                <w:sz w:val="24"/>
              </w:rPr>
            </w:pPr>
            <w:r w:rsidRPr="00C32ACC">
              <w:rPr>
                <w:sz w:val="24"/>
              </w:rPr>
              <w:t>Godziny kontaktowe</w:t>
            </w:r>
          </w:p>
        </w:tc>
      </w:tr>
      <w:tr w:rsidR="00D316FA" w:rsidRPr="00C32ACC" w14:paraId="64FE6EA9" w14:textId="77777777" w:rsidTr="6F749F37">
        <w:trPr>
          <w:trHeight w:val="390"/>
        </w:trPr>
        <w:tc>
          <w:tcPr>
            <w:tcW w:w="12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10BBCD48" w14:textId="77777777" w:rsidR="00D316FA" w:rsidRPr="00C32ACC" w:rsidRDefault="00D316FA" w:rsidP="00D316FA">
            <w:pPr>
              <w:spacing w:line="276" w:lineRule="auto"/>
              <w:ind w:left="66"/>
              <w:rPr>
                <w:sz w:val="24"/>
              </w:rPr>
            </w:pPr>
            <w:r w:rsidRPr="00C32ACC">
              <w:rPr>
                <w:sz w:val="24"/>
              </w:rPr>
              <w:t>L.p.</w:t>
            </w:r>
          </w:p>
        </w:tc>
        <w:tc>
          <w:tcPr>
            <w:tcW w:w="72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0FBF0EFD" w14:textId="77777777" w:rsidR="00D316FA" w:rsidRPr="00C32ACC" w:rsidRDefault="00D316FA" w:rsidP="00D316FA">
            <w:pPr>
              <w:spacing w:line="276" w:lineRule="auto"/>
              <w:ind w:left="67"/>
              <w:rPr>
                <w:sz w:val="24"/>
              </w:rPr>
            </w:pPr>
            <w:r w:rsidRPr="00C32ACC">
              <w:rPr>
                <w:sz w:val="24"/>
              </w:rPr>
              <w:t>Opis</w:t>
            </w:r>
          </w:p>
        </w:tc>
        <w:tc>
          <w:tcPr>
            <w:tcW w:w="1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2FAEAC7E" w14:textId="77777777" w:rsidR="00D316FA" w:rsidRPr="00C32ACC" w:rsidRDefault="00D316FA" w:rsidP="00D316FA">
            <w:pPr>
              <w:spacing w:line="276" w:lineRule="auto"/>
              <w:ind w:left="30"/>
              <w:rPr>
                <w:sz w:val="24"/>
              </w:rPr>
            </w:pPr>
            <w:r w:rsidRPr="00C32ACC">
              <w:rPr>
                <w:sz w:val="24"/>
              </w:rPr>
              <w:t xml:space="preserve">Liczba godzin: 28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5B1C3A89" w14:textId="77777777" w:rsidR="00D316FA" w:rsidRPr="00C32ACC" w:rsidRDefault="00D316FA" w:rsidP="00D316FA">
            <w:pPr>
              <w:spacing w:line="276" w:lineRule="auto"/>
              <w:ind w:left="69"/>
              <w:rPr>
                <w:sz w:val="24"/>
              </w:rPr>
            </w:pPr>
            <w:r w:rsidRPr="00C32ACC">
              <w:rPr>
                <w:sz w:val="24"/>
              </w:rPr>
              <w:t>ECTS</w:t>
            </w:r>
          </w:p>
        </w:tc>
      </w:tr>
      <w:tr w:rsidR="00D316FA" w:rsidRPr="00C32ACC" w14:paraId="6B4D8849" w14:textId="77777777" w:rsidTr="6F749F37">
        <w:trPr>
          <w:trHeight w:val="546"/>
        </w:trPr>
        <w:tc>
          <w:tcPr>
            <w:tcW w:w="12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E841E2" w14:textId="77777777" w:rsidR="00D316FA" w:rsidRPr="00C32ACC" w:rsidRDefault="00D316FA" w:rsidP="00D316FA">
            <w:pPr>
              <w:spacing w:line="276" w:lineRule="auto"/>
              <w:ind w:left="70"/>
              <w:rPr>
                <w:sz w:val="24"/>
              </w:rPr>
            </w:pPr>
            <w:r w:rsidRPr="00C32ACC">
              <w:rPr>
                <w:b w:val="0"/>
                <w:sz w:val="24"/>
              </w:rPr>
              <w:t>1.</w:t>
            </w:r>
          </w:p>
        </w:tc>
        <w:tc>
          <w:tcPr>
            <w:tcW w:w="72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43193" w14:textId="77777777" w:rsidR="00D316FA" w:rsidRPr="00C32ACC" w:rsidRDefault="00D316FA" w:rsidP="00D316FA">
            <w:pPr>
              <w:spacing w:line="276" w:lineRule="auto"/>
              <w:ind w:left="70"/>
              <w:rPr>
                <w:sz w:val="24"/>
              </w:rPr>
            </w:pPr>
            <w:r w:rsidRPr="00C32ACC">
              <w:rPr>
                <w:b w:val="0"/>
                <w:sz w:val="24"/>
              </w:rPr>
              <w:t>obecność na konwersatorium</w:t>
            </w:r>
          </w:p>
        </w:tc>
        <w:tc>
          <w:tcPr>
            <w:tcW w:w="1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5EB043" w14:textId="77777777" w:rsidR="00D316FA" w:rsidRPr="00C32ACC" w:rsidRDefault="00D316FA" w:rsidP="00D316FA">
            <w:pPr>
              <w:spacing w:line="276" w:lineRule="auto"/>
              <w:ind w:left="70"/>
              <w:rPr>
                <w:sz w:val="24"/>
              </w:rPr>
            </w:pPr>
            <w:r w:rsidRPr="00C32ACC">
              <w:rPr>
                <w:b w:val="0"/>
                <w:sz w:val="24"/>
              </w:rPr>
              <w:t>20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E4C9A" w14:textId="77494388" w:rsidR="00D316FA" w:rsidRPr="00C32ACC" w:rsidRDefault="00D316FA" w:rsidP="00D316FA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D316FA" w:rsidRPr="00C32ACC" w14:paraId="33F54C4E" w14:textId="77777777" w:rsidTr="6F749F37">
        <w:trPr>
          <w:trHeight w:val="541"/>
        </w:trPr>
        <w:tc>
          <w:tcPr>
            <w:tcW w:w="12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23848" w14:textId="77777777" w:rsidR="00D316FA" w:rsidRPr="00C32ACC" w:rsidRDefault="00D316FA" w:rsidP="00D316FA">
            <w:pPr>
              <w:spacing w:line="276" w:lineRule="auto"/>
              <w:ind w:left="70"/>
              <w:rPr>
                <w:sz w:val="24"/>
              </w:rPr>
            </w:pPr>
            <w:r w:rsidRPr="00C32ACC">
              <w:rPr>
                <w:b w:val="0"/>
                <w:sz w:val="24"/>
              </w:rPr>
              <w:t>2.</w:t>
            </w:r>
          </w:p>
        </w:tc>
        <w:tc>
          <w:tcPr>
            <w:tcW w:w="72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E5DB06" w14:textId="77777777" w:rsidR="00D316FA" w:rsidRPr="00C32ACC" w:rsidRDefault="00D316FA" w:rsidP="00D316FA">
            <w:pPr>
              <w:spacing w:line="276" w:lineRule="auto"/>
              <w:ind w:left="70"/>
              <w:rPr>
                <w:sz w:val="24"/>
              </w:rPr>
            </w:pPr>
            <w:r w:rsidRPr="00C32ACC">
              <w:rPr>
                <w:b w:val="0"/>
                <w:sz w:val="24"/>
              </w:rPr>
              <w:t>udział w konsultacjach</w:t>
            </w:r>
          </w:p>
        </w:tc>
        <w:tc>
          <w:tcPr>
            <w:tcW w:w="1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107036" w14:textId="77777777" w:rsidR="00D316FA" w:rsidRPr="00C32ACC" w:rsidRDefault="00D316FA" w:rsidP="00D316FA">
            <w:pPr>
              <w:spacing w:line="276" w:lineRule="auto"/>
              <w:ind w:left="70"/>
              <w:rPr>
                <w:sz w:val="24"/>
              </w:rPr>
            </w:pPr>
            <w:r w:rsidRPr="00C32ACC">
              <w:rPr>
                <w:b w:val="0"/>
                <w:sz w:val="24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3461B" w14:textId="50B0AECB" w:rsidR="00D316FA" w:rsidRPr="00C32ACC" w:rsidRDefault="00D316FA" w:rsidP="00D316FA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D316FA" w:rsidRPr="00C32ACC" w14:paraId="0E72F110" w14:textId="77777777" w:rsidTr="6F749F37">
        <w:trPr>
          <w:trHeight w:val="400"/>
        </w:trPr>
        <w:tc>
          <w:tcPr>
            <w:tcW w:w="8480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47D25A6" w14:textId="77777777" w:rsidR="00D316FA" w:rsidRPr="00C32ACC" w:rsidRDefault="00D316FA" w:rsidP="00D316FA">
            <w:pPr>
              <w:spacing w:line="276" w:lineRule="auto"/>
              <w:ind w:left="0"/>
              <w:rPr>
                <w:sz w:val="24"/>
              </w:rPr>
            </w:pPr>
            <w:r w:rsidRPr="00C32ACC">
              <w:rPr>
                <w:sz w:val="24"/>
              </w:rPr>
              <w:t>Suma</w:t>
            </w:r>
          </w:p>
        </w:tc>
        <w:tc>
          <w:tcPr>
            <w:tcW w:w="1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01A3EED" w14:textId="77777777" w:rsidR="00D316FA" w:rsidRPr="00C32ACC" w:rsidRDefault="00D316FA" w:rsidP="00D316FA">
            <w:pPr>
              <w:spacing w:line="276" w:lineRule="auto"/>
              <w:ind w:left="69"/>
              <w:rPr>
                <w:sz w:val="24"/>
              </w:rPr>
            </w:pPr>
            <w:r w:rsidRPr="00C32ACC">
              <w:rPr>
                <w:sz w:val="24"/>
              </w:rPr>
              <w:t>Godzin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9ECD9F8" w14:textId="77777777" w:rsidR="00D316FA" w:rsidRPr="00C32ACC" w:rsidRDefault="00D316FA" w:rsidP="00D316FA">
            <w:pPr>
              <w:spacing w:line="276" w:lineRule="auto"/>
              <w:ind w:left="69"/>
              <w:rPr>
                <w:sz w:val="24"/>
              </w:rPr>
            </w:pPr>
            <w:r w:rsidRPr="00C32ACC">
              <w:rPr>
                <w:sz w:val="24"/>
              </w:rPr>
              <w:t>ECTS</w:t>
            </w:r>
          </w:p>
        </w:tc>
      </w:tr>
      <w:tr w:rsidR="00D316FA" w:rsidRPr="00C32ACC" w14:paraId="785AC7D6" w14:textId="77777777" w:rsidTr="6F749F37">
        <w:trPr>
          <w:trHeight w:val="316"/>
        </w:trPr>
        <w:tc>
          <w:tcPr>
            <w:tcW w:w="8480" w:type="dxa"/>
            <w:gridSpan w:val="5"/>
            <w:vMerge/>
          </w:tcPr>
          <w:p w14:paraId="6A96B0ED" w14:textId="77777777" w:rsidR="00D316FA" w:rsidRPr="00C32ACC" w:rsidRDefault="00D316FA" w:rsidP="00D316FA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E6431" w14:textId="77777777" w:rsidR="00D316FA" w:rsidRPr="00C32ACC" w:rsidRDefault="00D316FA" w:rsidP="00D316FA">
            <w:pPr>
              <w:spacing w:line="276" w:lineRule="auto"/>
              <w:ind w:left="70"/>
              <w:rPr>
                <w:sz w:val="24"/>
              </w:rPr>
            </w:pPr>
            <w:r w:rsidRPr="00C32ACC">
              <w:rPr>
                <w:sz w:val="24"/>
              </w:rPr>
              <w:t>103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67B72" w14:textId="77777777" w:rsidR="00D316FA" w:rsidRPr="00C32ACC" w:rsidRDefault="00D316FA" w:rsidP="00D316FA">
            <w:pPr>
              <w:spacing w:line="276" w:lineRule="auto"/>
              <w:ind w:left="70"/>
              <w:rPr>
                <w:sz w:val="24"/>
              </w:rPr>
            </w:pPr>
            <w:r w:rsidRPr="00C32ACC">
              <w:rPr>
                <w:sz w:val="24"/>
              </w:rPr>
              <w:t>4</w:t>
            </w:r>
          </w:p>
        </w:tc>
      </w:tr>
      <w:tr w:rsidR="00D316FA" w:rsidRPr="00C32ACC" w14:paraId="5E0EBF60" w14:textId="77777777" w:rsidTr="6F749F37">
        <w:trPr>
          <w:trHeight w:val="3044"/>
        </w:trPr>
        <w:tc>
          <w:tcPr>
            <w:tcW w:w="32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4DB14DA9" w14:textId="77777777" w:rsidR="00D316FA" w:rsidRPr="00C32ACC" w:rsidRDefault="00D316FA" w:rsidP="00D316FA">
            <w:pPr>
              <w:spacing w:line="276" w:lineRule="auto"/>
              <w:ind w:left="70"/>
              <w:rPr>
                <w:sz w:val="24"/>
              </w:rPr>
            </w:pPr>
            <w:r w:rsidRPr="00C32ACC">
              <w:rPr>
                <w:sz w:val="24"/>
              </w:rPr>
              <w:t>Literatura podstawowa</w:t>
            </w:r>
          </w:p>
        </w:tc>
        <w:tc>
          <w:tcPr>
            <w:tcW w:w="74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73D26" w14:textId="053B9A09" w:rsidR="00D316FA" w:rsidRPr="00C32ACC" w:rsidRDefault="00D316FA" w:rsidP="00D316FA">
            <w:pPr>
              <w:spacing w:line="276" w:lineRule="auto"/>
              <w:ind w:left="0"/>
              <w:rPr>
                <w:b w:val="0"/>
                <w:sz w:val="24"/>
              </w:rPr>
            </w:pPr>
          </w:p>
          <w:p w14:paraId="24A7E8D6" w14:textId="77777777" w:rsidR="00D316FA" w:rsidRPr="00C32ACC" w:rsidRDefault="00D316FA" w:rsidP="00D316FA">
            <w:pPr>
              <w:spacing w:line="276" w:lineRule="auto"/>
              <w:ind w:left="0"/>
              <w:rPr>
                <w:b w:val="0"/>
                <w:sz w:val="24"/>
              </w:rPr>
            </w:pPr>
            <w:r w:rsidRPr="00C32ACC">
              <w:rPr>
                <w:b w:val="0"/>
                <w:sz w:val="24"/>
              </w:rPr>
              <w:t xml:space="preserve">M. Żylicz, </w:t>
            </w:r>
            <w:r w:rsidRPr="00C32ACC">
              <w:rPr>
                <w:b w:val="0"/>
                <w:i/>
                <w:iCs/>
                <w:sz w:val="24"/>
              </w:rPr>
              <w:t>Prawo lotnicze. Międzynarodowe, europejskie i krajowe</w:t>
            </w:r>
            <w:r w:rsidRPr="00C32ACC">
              <w:rPr>
                <w:b w:val="0"/>
                <w:sz w:val="24"/>
              </w:rPr>
              <w:t xml:space="preserve">, </w:t>
            </w:r>
            <w:proofErr w:type="spellStart"/>
            <w:r w:rsidRPr="00C32ACC">
              <w:rPr>
                <w:b w:val="0"/>
                <w:sz w:val="24"/>
              </w:rPr>
              <w:t>LexisNexis</w:t>
            </w:r>
            <w:proofErr w:type="spellEnd"/>
            <w:r w:rsidRPr="00C32ACC">
              <w:rPr>
                <w:b w:val="0"/>
                <w:sz w:val="24"/>
              </w:rPr>
              <w:t xml:space="preserve"> Warszawa 2011.</w:t>
            </w:r>
          </w:p>
          <w:p w14:paraId="589C3228" w14:textId="77777777" w:rsidR="00D316FA" w:rsidRPr="00C32ACC" w:rsidRDefault="00D316FA" w:rsidP="00D316FA">
            <w:pPr>
              <w:spacing w:line="276" w:lineRule="auto"/>
              <w:ind w:left="0"/>
              <w:rPr>
                <w:b w:val="0"/>
                <w:sz w:val="24"/>
              </w:rPr>
            </w:pPr>
            <w:r w:rsidRPr="00C32ACC">
              <w:rPr>
                <w:b w:val="0"/>
                <w:sz w:val="24"/>
              </w:rPr>
              <w:t xml:space="preserve">Krajowy program bezpieczeństwa lotniczego. </w:t>
            </w:r>
          </w:p>
          <w:p w14:paraId="2187492B" w14:textId="7B3D0F41" w:rsidR="00D316FA" w:rsidRPr="00C32ACC" w:rsidRDefault="00D316FA" w:rsidP="00D316FA">
            <w:pPr>
              <w:spacing w:line="276" w:lineRule="auto"/>
              <w:ind w:left="0"/>
              <w:rPr>
                <w:b w:val="0"/>
                <w:sz w:val="24"/>
              </w:rPr>
            </w:pPr>
            <w:r w:rsidRPr="00C32ACC">
              <w:rPr>
                <w:b w:val="0"/>
                <w:sz w:val="24"/>
              </w:rPr>
              <w:t>Europejski program bezpieczeństwa lotniczego.</w:t>
            </w:r>
          </w:p>
        </w:tc>
      </w:tr>
      <w:tr w:rsidR="00D316FA" w:rsidRPr="00C32ACC" w14:paraId="71268622" w14:textId="77777777" w:rsidTr="6F749F37">
        <w:tblPrEx>
          <w:tblCellMar>
            <w:top w:w="95" w:type="dxa"/>
            <w:left w:w="114" w:type="dxa"/>
            <w:bottom w:w="0" w:type="dxa"/>
            <w:right w:w="115" w:type="dxa"/>
          </w:tblCellMar>
        </w:tblPrEx>
        <w:trPr>
          <w:trHeight w:val="450"/>
        </w:trPr>
        <w:tc>
          <w:tcPr>
            <w:tcW w:w="32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B906D77" w14:textId="77777777" w:rsidR="00D316FA" w:rsidRPr="00C32ACC" w:rsidRDefault="00D316FA" w:rsidP="00D316FA">
            <w:pPr>
              <w:spacing w:line="276" w:lineRule="auto"/>
              <w:ind w:left="0"/>
              <w:rPr>
                <w:sz w:val="24"/>
              </w:rPr>
            </w:pPr>
            <w:r w:rsidRPr="00C32ACC">
              <w:rPr>
                <w:sz w:val="24"/>
              </w:rPr>
              <w:t>Literatura uzupełniająca</w:t>
            </w:r>
          </w:p>
        </w:tc>
        <w:tc>
          <w:tcPr>
            <w:tcW w:w="74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4D862" w14:textId="77777777" w:rsidR="00D316FA" w:rsidRPr="00C32ACC" w:rsidRDefault="00D316FA" w:rsidP="00D316FA">
            <w:pPr>
              <w:spacing w:after="160" w:line="276" w:lineRule="auto"/>
              <w:ind w:left="0"/>
              <w:rPr>
                <w:b w:val="0"/>
                <w:sz w:val="24"/>
              </w:rPr>
            </w:pPr>
            <w:r w:rsidRPr="00C32ACC">
              <w:rPr>
                <w:b w:val="0"/>
                <w:sz w:val="24"/>
              </w:rPr>
              <w:t xml:space="preserve">I. Kraśnicka, </w:t>
            </w:r>
            <w:r w:rsidRPr="00C32ACC">
              <w:rPr>
                <w:b w:val="0"/>
                <w:i/>
                <w:iCs/>
                <w:sz w:val="24"/>
              </w:rPr>
              <w:t>Standardy żeglugi powietrznej w działalności Organizacji Międzynarodowego Lotnictwa Cywilnego</w:t>
            </w:r>
            <w:r w:rsidRPr="00C32ACC">
              <w:rPr>
                <w:b w:val="0"/>
                <w:sz w:val="24"/>
              </w:rPr>
              <w:t>, Warszawa 2019.</w:t>
            </w:r>
          </w:p>
          <w:p w14:paraId="1EC470C2" w14:textId="678E28A0" w:rsidR="00D316FA" w:rsidRPr="00C32ACC" w:rsidRDefault="00D316FA" w:rsidP="00D316FA">
            <w:pPr>
              <w:spacing w:after="160" w:line="276" w:lineRule="auto"/>
              <w:ind w:left="0"/>
              <w:rPr>
                <w:b w:val="0"/>
                <w:sz w:val="24"/>
              </w:rPr>
            </w:pPr>
            <w:r w:rsidRPr="00C32ACC">
              <w:rPr>
                <w:b w:val="0"/>
                <w:sz w:val="24"/>
              </w:rPr>
              <w:t xml:space="preserve">M. Bujnowski, </w:t>
            </w:r>
            <w:r w:rsidRPr="00C32ACC">
              <w:rPr>
                <w:b w:val="0"/>
                <w:i/>
                <w:iCs/>
                <w:sz w:val="24"/>
              </w:rPr>
              <w:t>Bezpieczeństwo lotnictwa cywilnego</w:t>
            </w:r>
            <w:r w:rsidRPr="00C32ACC">
              <w:rPr>
                <w:b w:val="0"/>
                <w:sz w:val="24"/>
              </w:rPr>
              <w:t>, Warszawa 2016</w:t>
            </w:r>
          </w:p>
        </w:tc>
      </w:tr>
      <w:tr w:rsidR="00D316FA" w:rsidRPr="00C32ACC" w14:paraId="06F53243" w14:textId="77777777" w:rsidTr="6F749F37">
        <w:tblPrEx>
          <w:tblCellMar>
            <w:top w:w="95" w:type="dxa"/>
            <w:left w:w="114" w:type="dxa"/>
            <w:bottom w:w="0" w:type="dxa"/>
            <w:right w:w="115" w:type="dxa"/>
          </w:tblCellMar>
        </w:tblPrEx>
        <w:trPr>
          <w:trHeight w:val="898"/>
        </w:trPr>
        <w:tc>
          <w:tcPr>
            <w:tcW w:w="32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DF4C760" w14:textId="77777777" w:rsidR="00D316FA" w:rsidRPr="00C32ACC" w:rsidRDefault="00D316FA" w:rsidP="00D316FA">
            <w:pPr>
              <w:spacing w:line="276" w:lineRule="auto"/>
              <w:ind w:left="0"/>
              <w:rPr>
                <w:sz w:val="24"/>
              </w:rPr>
            </w:pPr>
            <w:r w:rsidRPr="00C32ACC">
              <w:rPr>
                <w:sz w:val="24"/>
              </w:rPr>
              <w:lastRenderedPageBreak/>
              <w:t>Miejsce realizacji</w:t>
            </w:r>
          </w:p>
        </w:tc>
        <w:tc>
          <w:tcPr>
            <w:tcW w:w="74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5880D" w14:textId="77777777" w:rsidR="00D316FA" w:rsidRPr="00C32ACC" w:rsidRDefault="00D316FA" w:rsidP="00D316FA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C32ACC">
              <w:rPr>
                <w:b w:val="0"/>
                <w:bCs/>
                <w:sz w:val="24"/>
              </w:rPr>
              <w:t xml:space="preserve">Uczelnia Łazarskiego </w:t>
            </w:r>
          </w:p>
          <w:p w14:paraId="6CC1153D" w14:textId="77777777" w:rsidR="00D316FA" w:rsidRPr="00C32ACC" w:rsidRDefault="00D316FA" w:rsidP="00D316FA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C32ACC">
              <w:rPr>
                <w:b w:val="0"/>
                <w:bCs/>
                <w:sz w:val="24"/>
              </w:rPr>
              <w:t>ul. Świeradowska 43 02-662 Warszawa</w:t>
            </w:r>
          </w:p>
          <w:p w14:paraId="089994FC" w14:textId="4658C00B" w:rsidR="00D316FA" w:rsidRPr="00C32ACC" w:rsidRDefault="00D316FA" w:rsidP="00D316FA">
            <w:pPr>
              <w:spacing w:line="276" w:lineRule="auto"/>
              <w:ind w:left="0"/>
              <w:rPr>
                <w:sz w:val="24"/>
              </w:rPr>
            </w:pPr>
            <w:r w:rsidRPr="00C32ACC">
              <w:rPr>
                <w:b w:val="0"/>
                <w:bCs/>
                <w:sz w:val="24"/>
              </w:rPr>
              <w:t>Sale według planu zajęć.</w:t>
            </w:r>
          </w:p>
        </w:tc>
      </w:tr>
    </w:tbl>
    <w:p w14:paraId="0795D5FD" w14:textId="77777777" w:rsidR="00BF7B89" w:rsidRPr="00C32ACC" w:rsidRDefault="00BF7B89" w:rsidP="004715CC">
      <w:pPr>
        <w:spacing w:line="276" w:lineRule="auto"/>
        <w:rPr>
          <w:sz w:val="24"/>
        </w:rPr>
      </w:pPr>
    </w:p>
    <w:sectPr w:rsidR="00BF7B89" w:rsidRPr="00C32ACC">
      <w:pgSz w:w="11906" w:h="16838"/>
      <w:pgMar w:top="572" w:right="1440" w:bottom="675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INCE-Regular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DA46B"/>
    <w:multiLevelType w:val="hybridMultilevel"/>
    <w:tmpl w:val="F830D734"/>
    <w:lvl w:ilvl="0" w:tplc="A8C61E0C">
      <w:start w:val="5"/>
      <w:numFmt w:val="decimal"/>
      <w:lvlText w:val="%1."/>
      <w:lvlJc w:val="left"/>
      <w:pPr>
        <w:ind w:left="4028" w:hanging="360"/>
      </w:pPr>
    </w:lvl>
    <w:lvl w:ilvl="1" w:tplc="0F64AA0C">
      <w:start w:val="1"/>
      <w:numFmt w:val="lowerLetter"/>
      <w:lvlText w:val="%2."/>
      <w:lvlJc w:val="left"/>
      <w:pPr>
        <w:ind w:left="4748" w:hanging="360"/>
      </w:pPr>
    </w:lvl>
    <w:lvl w:ilvl="2" w:tplc="377AB00E">
      <w:start w:val="1"/>
      <w:numFmt w:val="lowerRoman"/>
      <w:lvlText w:val="%3."/>
      <w:lvlJc w:val="right"/>
      <w:pPr>
        <w:ind w:left="5468" w:hanging="180"/>
      </w:pPr>
    </w:lvl>
    <w:lvl w:ilvl="3" w:tplc="BE34701C">
      <w:start w:val="1"/>
      <w:numFmt w:val="decimal"/>
      <w:lvlText w:val="%4."/>
      <w:lvlJc w:val="left"/>
      <w:pPr>
        <w:ind w:left="6188" w:hanging="360"/>
      </w:pPr>
    </w:lvl>
    <w:lvl w:ilvl="4" w:tplc="6FD47E28">
      <w:start w:val="1"/>
      <w:numFmt w:val="lowerLetter"/>
      <w:lvlText w:val="%5."/>
      <w:lvlJc w:val="left"/>
      <w:pPr>
        <w:ind w:left="6908" w:hanging="360"/>
      </w:pPr>
    </w:lvl>
    <w:lvl w:ilvl="5" w:tplc="54FA5250">
      <w:start w:val="1"/>
      <w:numFmt w:val="lowerRoman"/>
      <w:lvlText w:val="%6."/>
      <w:lvlJc w:val="right"/>
      <w:pPr>
        <w:ind w:left="7628" w:hanging="180"/>
      </w:pPr>
    </w:lvl>
    <w:lvl w:ilvl="6" w:tplc="4FC6C318">
      <w:start w:val="1"/>
      <w:numFmt w:val="decimal"/>
      <w:lvlText w:val="%7."/>
      <w:lvlJc w:val="left"/>
      <w:pPr>
        <w:ind w:left="8348" w:hanging="360"/>
      </w:pPr>
    </w:lvl>
    <w:lvl w:ilvl="7" w:tplc="07CC74FE">
      <w:start w:val="1"/>
      <w:numFmt w:val="lowerLetter"/>
      <w:lvlText w:val="%8."/>
      <w:lvlJc w:val="left"/>
      <w:pPr>
        <w:ind w:left="9068" w:hanging="360"/>
      </w:pPr>
    </w:lvl>
    <w:lvl w:ilvl="8" w:tplc="CBD8C410">
      <w:start w:val="1"/>
      <w:numFmt w:val="lowerRoman"/>
      <w:lvlText w:val="%9."/>
      <w:lvlJc w:val="right"/>
      <w:pPr>
        <w:ind w:left="9788" w:hanging="180"/>
      </w:pPr>
    </w:lvl>
  </w:abstractNum>
  <w:num w:numId="1" w16cid:durableId="68960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22C"/>
    <w:rsid w:val="0002439B"/>
    <w:rsid w:val="000547FC"/>
    <w:rsid w:val="002A3502"/>
    <w:rsid w:val="003F79A8"/>
    <w:rsid w:val="00461E4C"/>
    <w:rsid w:val="004715CC"/>
    <w:rsid w:val="005D73F0"/>
    <w:rsid w:val="00682450"/>
    <w:rsid w:val="006E2FEA"/>
    <w:rsid w:val="00742A4A"/>
    <w:rsid w:val="00857036"/>
    <w:rsid w:val="00A06F0B"/>
    <w:rsid w:val="00BEB705"/>
    <w:rsid w:val="00BF7B89"/>
    <w:rsid w:val="00C32ACC"/>
    <w:rsid w:val="00D316FA"/>
    <w:rsid w:val="00D8768E"/>
    <w:rsid w:val="00DE722C"/>
    <w:rsid w:val="00E300AD"/>
    <w:rsid w:val="00EC1008"/>
    <w:rsid w:val="00ED26B0"/>
    <w:rsid w:val="00EF61AC"/>
    <w:rsid w:val="016A53B5"/>
    <w:rsid w:val="02C5219A"/>
    <w:rsid w:val="03847156"/>
    <w:rsid w:val="04FE8A18"/>
    <w:rsid w:val="06AB7193"/>
    <w:rsid w:val="07AF544B"/>
    <w:rsid w:val="07B0DB23"/>
    <w:rsid w:val="0893D0F4"/>
    <w:rsid w:val="093523F5"/>
    <w:rsid w:val="094569DA"/>
    <w:rsid w:val="09DEAAFA"/>
    <w:rsid w:val="0AAD810A"/>
    <w:rsid w:val="0ABB82B9"/>
    <w:rsid w:val="0AD91A60"/>
    <w:rsid w:val="0BA8A1D3"/>
    <w:rsid w:val="0BBB1DB9"/>
    <w:rsid w:val="0ED243E2"/>
    <w:rsid w:val="0ED3D6B2"/>
    <w:rsid w:val="0F9ABC6C"/>
    <w:rsid w:val="0FBAFF4D"/>
    <w:rsid w:val="11AC26EC"/>
    <w:rsid w:val="12840E69"/>
    <w:rsid w:val="13E671DA"/>
    <w:rsid w:val="143C2853"/>
    <w:rsid w:val="144FAEE6"/>
    <w:rsid w:val="1616537F"/>
    <w:rsid w:val="172AEDDD"/>
    <w:rsid w:val="1940880E"/>
    <w:rsid w:val="1A2AB4B9"/>
    <w:rsid w:val="1BD5983E"/>
    <w:rsid w:val="1C2651BC"/>
    <w:rsid w:val="1CA4E3FB"/>
    <w:rsid w:val="1D345A6B"/>
    <w:rsid w:val="1D560878"/>
    <w:rsid w:val="1DAEE557"/>
    <w:rsid w:val="1DB6388F"/>
    <w:rsid w:val="1DD6A272"/>
    <w:rsid w:val="1E9CED15"/>
    <w:rsid w:val="1F2A391D"/>
    <w:rsid w:val="1F997DA2"/>
    <w:rsid w:val="1FDCC22C"/>
    <w:rsid w:val="1FF482AC"/>
    <w:rsid w:val="1FF51548"/>
    <w:rsid w:val="20B33428"/>
    <w:rsid w:val="2124245B"/>
    <w:rsid w:val="213FC07A"/>
    <w:rsid w:val="2194A34E"/>
    <w:rsid w:val="22014D99"/>
    <w:rsid w:val="2359DF73"/>
    <w:rsid w:val="23708445"/>
    <w:rsid w:val="242D0AFD"/>
    <w:rsid w:val="24B372C9"/>
    <w:rsid w:val="256518F5"/>
    <w:rsid w:val="2659C350"/>
    <w:rsid w:val="27B5C543"/>
    <w:rsid w:val="27CB9381"/>
    <w:rsid w:val="294DB220"/>
    <w:rsid w:val="2A0BF8BE"/>
    <w:rsid w:val="2A324C8C"/>
    <w:rsid w:val="2A6A18C8"/>
    <w:rsid w:val="2AA7F143"/>
    <w:rsid w:val="2B76B7D6"/>
    <w:rsid w:val="2BCC4077"/>
    <w:rsid w:val="2C9BD0A8"/>
    <w:rsid w:val="2CBD3AF0"/>
    <w:rsid w:val="2CCCA67E"/>
    <w:rsid w:val="2D045AF7"/>
    <w:rsid w:val="2D9B92D8"/>
    <w:rsid w:val="2DD3D2B0"/>
    <w:rsid w:val="2E154BAC"/>
    <w:rsid w:val="2E3C671F"/>
    <w:rsid w:val="2E510CAE"/>
    <w:rsid w:val="2EA02125"/>
    <w:rsid w:val="2EE092AE"/>
    <w:rsid w:val="2F7E54B7"/>
    <w:rsid w:val="2FAC9A75"/>
    <w:rsid w:val="305F6916"/>
    <w:rsid w:val="30EAF789"/>
    <w:rsid w:val="318D1558"/>
    <w:rsid w:val="321CFD02"/>
    <w:rsid w:val="32D4B324"/>
    <w:rsid w:val="34CDC26A"/>
    <w:rsid w:val="35497E95"/>
    <w:rsid w:val="3587F15E"/>
    <w:rsid w:val="35BEE6D0"/>
    <w:rsid w:val="362B9147"/>
    <w:rsid w:val="3749EDDA"/>
    <w:rsid w:val="388EA605"/>
    <w:rsid w:val="39FB2EE7"/>
    <w:rsid w:val="3A3747F0"/>
    <w:rsid w:val="3AC54266"/>
    <w:rsid w:val="3B2C6B80"/>
    <w:rsid w:val="3D1C0354"/>
    <w:rsid w:val="3D56CBFD"/>
    <w:rsid w:val="3D6802E9"/>
    <w:rsid w:val="3E1CB98E"/>
    <w:rsid w:val="3F1A0C27"/>
    <w:rsid w:val="41376CE9"/>
    <w:rsid w:val="4571D9AE"/>
    <w:rsid w:val="45C35C39"/>
    <w:rsid w:val="45EF98F2"/>
    <w:rsid w:val="466F34A0"/>
    <w:rsid w:val="46B79B6A"/>
    <w:rsid w:val="47ED16FB"/>
    <w:rsid w:val="487D54BC"/>
    <w:rsid w:val="48E60EDD"/>
    <w:rsid w:val="48FBACB8"/>
    <w:rsid w:val="491E9F25"/>
    <w:rsid w:val="4933A833"/>
    <w:rsid w:val="4953BB5A"/>
    <w:rsid w:val="4968F4CB"/>
    <w:rsid w:val="4BF30805"/>
    <w:rsid w:val="4C06FCC5"/>
    <w:rsid w:val="4C3D2012"/>
    <w:rsid w:val="4D369DAF"/>
    <w:rsid w:val="4D72CBEF"/>
    <w:rsid w:val="4D893026"/>
    <w:rsid w:val="4DEBC8C4"/>
    <w:rsid w:val="4ECE2C1E"/>
    <w:rsid w:val="4FAB2C5E"/>
    <w:rsid w:val="503EA2AE"/>
    <w:rsid w:val="5090AD69"/>
    <w:rsid w:val="50D18F29"/>
    <w:rsid w:val="50F86D72"/>
    <w:rsid w:val="511C5428"/>
    <w:rsid w:val="51EB4BD4"/>
    <w:rsid w:val="52FC752B"/>
    <w:rsid w:val="53CA8A71"/>
    <w:rsid w:val="54538E72"/>
    <w:rsid w:val="546AA8DA"/>
    <w:rsid w:val="5474A642"/>
    <w:rsid w:val="54BEE3A6"/>
    <w:rsid w:val="54E61149"/>
    <w:rsid w:val="5601E5C3"/>
    <w:rsid w:val="564CB034"/>
    <w:rsid w:val="56760C69"/>
    <w:rsid w:val="56EB57AB"/>
    <w:rsid w:val="571F2BA6"/>
    <w:rsid w:val="5862A5B9"/>
    <w:rsid w:val="595ECF8D"/>
    <w:rsid w:val="59A819FC"/>
    <w:rsid w:val="59AB639F"/>
    <w:rsid w:val="59BB93A9"/>
    <w:rsid w:val="5A1A5102"/>
    <w:rsid w:val="5A78473F"/>
    <w:rsid w:val="5B048471"/>
    <w:rsid w:val="5B86F351"/>
    <w:rsid w:val="5CAAC3E0"/>
    <w:rsid w:val="5CF50DBC"/>
    <w:rsid w:val="5E1D6CCC"/>
    <w:rsid w:val="5F46DBBA"/>
    <w:rsid w:val="60E96FAF"/>
    <w:rsid w:val="6193C8FD"/>
    <w:rsid w:val="62C40192"/>
    <w:rsid w:val="630CD339"/>
    <w:rsid w:val="63C7B526"/>
    <w:rsid w:val="63DD298B"/>
    <w:rsid w:val="63F91F9C"/>
    <w:rsid w:val="65AF507F"/>
    <w:rsid w:val="65EFB090"/>
    <w:rsid w:val="66665984"/>
    <w:rsid w:val="676EB124"/>
    <w:rsid w:val="6780364E"/>
    <w:rsid w:val="691816AB"/>
    <w:rsid w:val="694FADE3"/>
    <w:rsid w:val="69AAA737"/>
    <w:rsid w:val="69C7E2CB"/>
    <w:rsid w:val="6A8985A3"/>
    <w:rsid w:val="6AA05FE6"/>
    <w:rsid w:val="6B541A3C"/>
    <w:rsid w:val="6B59FB38"/>
    <w:rsid w:val="6CE12E0A"/>
    <w:rsid w:val="6D906677"/>
    <w:rsid w:val="6E34C0C8"/>
    <w:rsid w:val="6EE570BA"/>
    <w:rsid w:val="6F749F37"/>
    <w:rsid w:val="6FE3629B"/>
    <w:rsid w:val="700EA226"/>
    <w:rsid w:val="70A59EE5"/>
    <w:rsid w:val="71C58DE0"/>
    <w:rsid w:val="7294295B"/>
    <w:rsid w:val="73FE1230"/>
    <w:rsid w:val="746D9245"/>
    <w:rsid w:val="7489EEE7"/>
    <w:rsid w:val="74BCDDB2"/>
    <w:rsid w:val="758F08A1"/>
    <w:rsid w:val="76059339"/>
    <w:rsid w:val="77803B3D"/>
    <w:rsid w:val="779F6940"/>
    <w:rsid w:val="77D98FC8"/>
    <w:rsid w:val="780D5AB5"/>
    <w:rsid w:val="792C89D7"/>
    <w:rsid w:val="79D1AD01"/>
    <w:rsid w:val="7A663EE1"/>
    <w:rsid w:val="7AB3A76A"/>
    <w:rsid w:val="7AF4DDD3"/>
    <w:rsid w:val="7B5CCE40"/>
    <w:rsid w:val="7BB41C82"/>
    <w:rsid w:val="7C51EF97"/>
    <w:rsid w:val="7C5630DA"/>
    <w:rsid w:val="7DA827A4"/>
    <w:rsid w:val="7DBBFE83"/>
    <w:rsid w:val="7EC85450"/>
    <w:rsid w:val="7F839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6DA7"/>
  <w15:docId w15:val="{871D93D5-5AD1-8B4C-A295-3A6ACF05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3668"/>
    </w:pPr>
    <w:rPr>
      <w:rFonts w:ascii="Calibri" w:eastAsia="Calibri" w:hAnsi="Calibri" w:cs="Calibri"/>
      <w:b/>
      <w:color w:val="000000"/>
      <w:sz w:val="20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15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15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15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715CC"/>
    <w:rPr>
      <w:rFonts w:asciiTheme="majorHAnsi" w:eastAsiaTheme="majorEastAsia" w:hAnsiTheme="majorHAnsi" w:cstheme="majorBidi"/>
      <w:b/>
      <w:color w:val="0F4761" w:themeColor="accent1" w:themeShade="BF"/>
      <w:sz w:val="26"/>
      <w:szCs w:val="26"/>
      <w:lang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715CC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  <w:lang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715CC"/>
    <w:rPr>
      <w:rFonts w:asciiTheme="majorHAnsi" w:eastAsiaTheme="majorEastAsia" w:hAnsiTheme="majorHAnsi" w:cstheme="majorBidi"/>
      <w:b/>
      <w:color w:val="0A2F40" w:themeColor="accent1" w:themeShade="7F"/>
      <w:lang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26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26B0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26B0"/>
    <w:rPr>
      <w:rFonts w:ascii="Calibri" w:eastAsia="Calibri" w:hAnsi="Calibri" w:cs="Calibri"/>
      <w:b/>
      <w:color w:val="000000"/>
      <w:sz w:val="20"/>
      <w:szCs w:val="20"/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6B0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26B0"/>
    <w:rPr>
      <w:rFonts w:ascii="Calibri" w:eastAsia="Calibri" w:hAnsi="Calibri" w:cs="Calibri"/>
      <w:b/>
      <w:bCs/>
      <w:color w:val="000000"/>
      <w:sz w:val="20"/>
      <w:szCs w:val="20"/>
      <w:lang w:bidi="pl-PL"/>
    </w:rPr>
  </w:style>
  <w:style w:type="character" w:customStyle="1" w:styleId="Domylnaczcionkaakapitu1">
    <w:name w:val="Domyślna czcionka akapitu1"/>
    <w:rsid w:val="00D31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883</Words>
  <Characters>5298</Characters>
  <Application>Microsoft Office Word</Application>
  <DocSecurity>0</DocSecurity>
  <Lines>44</Lines>
  <Paragraphs>12</Paragraphs>
  <ScaleCrop>false</ScaleCrop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 nr []. Polityki i strategie rozwoju lotnictwa cywilnego</dc:title>
  <dc:subject>Projekt pn. „Administrowanie przestrzenią powietrzną przyszłości – edukacja poprzez symulację i praktykę na potrzeby gospodarki przyszłości”</dc:subject>
  <dc:creator>Rada Praktyków Biznesu i Dydaktyków</dc:creator>
  <cp:keywords>Edukacja; FunduszeEuropejskie; FunduszeUE; szkolnictwo wyższe; higher education; drony; bezzałogowe statki powietrzne; branża lotnicza</cp:keywords>
  <dc:description>Licencja Uznanie autorstwa CC BY 4.0</dc:description>
  <cp:lastModifiedBy>Agnieszka Fortońska</cp:lastModifiedBy>
  <cp:revision>17</cp:revision>
  <dcterms:created xsi:type="dcterms:W3CDTF">2025-06-16T09:08:00Z</dcterms:created>
  <dcterms:modified xsi:type="dcterms:W3CDTF">2025-07-18T07:12:00Z</dcterms:modified>
  <cp:category>Produkt Projektu o numerze FERS.01.05-IP.08-0263/23</cp:category>
</cp:coreProperties>
</file>