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132752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132752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132752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132752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132752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132752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132752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02BFB930" w:rsidR="004715CC" w:rsidRPr="00132752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856F4C"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13275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4EEE8DF4" w:rsidR="004715CC" w:rsidRPr="00132752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132752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132752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</w:t>
      </w:r>
      <w:r w:rsidR="00856F4C" w:rsidRPr="00132752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1</w:t>
      </w:r>
      <w:r w:rsidR="09DEAAFA" w:rsidRPr="00132752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856F4C" w:rsidRPr="00132752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Aspekty prawne żeglugi powietrznej</w:t>
      </w:r>
    </w:p>
    <w:p w14:paraId="74DBFA36" w14:textId="77777777" w:rsidR="004715CC" w:rsidRPr="00132752" w:rsidRDefault="004715CC">
      <w:pPr>
        <w:rPr>
          <w:sz w:val="24"/>
        </w:rPr>
      </w:pPr>
    </w:p>
    <w:p w14:paraId="6C2FA75E" w14:textId="648F9F37" w:rsidR="00DE722C" w:rsidRPr="00132752" w:rsidRDefault="004715CC" w:rsidP="004715CC">
      <w:pPr>
        <w:spacing w:line="276" w:lineRule="auto"/>
        <w:jc w:val="both"/>
        <w:rPr>
          <w:sz w:val="24"/>
        </w:rPr>
      </w:pPr>
      <w:r w:rsidRPr="00132752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132752" w14:paraId="2DA61C96" w14:textId="77777777" w:rsidTr="7CB933C0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132752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132752">
              <w:rPr>
                <w:sz w:val="24"/>
              </w:rPr>
              <w:t>Wydział Prawa i Administracji</w:t>
            </w:r>
          </w:p>
        </w:tc>
      </w:tr>
      <w:tr w:rsidR="00DE722C" w:rsidRPr="00132752" w14:paraId="13738F12" w14:textId="77777777" w:rsidTr="7CB933C0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132752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132752">
              <w:rPr>
                <w:sz w:val="24"/>
              </w:rPr>
              <w:t xml:space="preserve">Administracja, profil </w:t>
            </w:r>
            <w:proofErr w:type="spellStart"/>
            <w:r w:rsidRPr="00132752">
              <w:rPr>
                <w:sz w:val="24"/>
              </w:rPr>
              <w:t>ogólnoakademicki</w:t>
            </w:r>
            <w:proofErr w:type="spellEnd"/>
            <w:r w:rsidRPr="00132752">
              <w:rPr>
                <w:sz w:val="24"/>
              </w:rPr>
              <w:t xml:space="preserve"> </w:t>
            </w:r>
          </w:p>
        </w:tc>
      </w:tr>
      <w:tr w:rsidR="00DE722C" w:rsidRPr="00132752" w14:paraId="590EE99D" w14:textId="77777777" w:rsidTr="7CB933C0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5AA06F42" w:rsidR="00DE722C" w:rsidRPr="00132752" w:rsidRDefault="634A83FC" w:rsidP="7CB933C0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b w:val="0"/>
                <w:sz w:val="24"/>
              </w:rPr>
              <w:t>P.AD.LN.SJ07</w:t>
            </w:r>
            <w:r w:rsidR="004715CC" w:rsidRPr="00132752">
              <w:rPr>
                <w:b w:val="0"/>
                <w:sz w:val="24"/>
              </w:rPr>
              <w:t xml:space="preserve"> </w:t>
            </w:r>
            <w:r w:rsidR="00733EDB" w:rsidRPr="00132752">
              <w:rPr>
                <w:b w:val="0"/>
                <w:sz w:val="24"/>
              </w:rPr>
              <w:t>–</w:t>
            </w:r>
            <w:r w:rsidR="004715CC" w:rsidRPr="00132752">
              <w:rPr>
                <w:b w:val="0"/>
                <w:sz w:val="24"/>
              </w:rPr>
              <w:t xml:space="preserve"> </w:t>
            </w:r>
            <w:r w:rsidR="00733EDB" w:rsidRPr="00132752">
              <w:rPr>
                <w:b w:val="0"/>
                <w:sz w:val="24"/>
              </w:rPr>
              <w:t xml:space="preserve">Aspekty prawne żeglugi powietrznej </w:t>
            </w:r>
          </w:p>
          <w:p w14:paraId="027EE474" w14:textId="08CB864F" w:rsidR="00DE722C" w:rsidRPr="00132752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132752" w14:paraId="32A7B3FC" w14:textId="77777777" w:rsidTr="7CB933C0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b w:val="0"/>
                <w:sz w:val="24"/>
              </w:rPr>
              <w:t>Konwersatorium</w:t>
            </w:r>
          </w:p>
        </w:tc>
      </w:tr>
      <w:tr w:rsidR="00DE722C" w:rsidRPr="00132752" w14:paraId="36107EF5" w14:textId="77777777" w:rsidTr="7CB933C0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132752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b w:val="0"/>
                <w:sz w:val="24"/>
              </w:rPr>
              <w:t>Specjalizacyjny</w:t>
            </w:r>
          </w:p>
        </w:tc>
      </w:tr>
      <w:tr w:rsidR="00DE722C" w:rsidRPr="00132752" w14:paraId="6FD48715" w14:textId="77777777" w:rsidTr="7CB933C0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132752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132752">
              <w:rPr>
                <w:sz w:val="24"/>
              </w:rPr>
              <w:t>Rok studiów</w:t>
            </w:r>
          </w:p>
          <w:p w14:paraId="79597035" w14:textId="77777777" w:rsidR="00DE722C" w:rsidRPr="00132752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132752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00F20" w14:textId="04A74C43" w:rsidR="001174C0" w:rsidRPr="00132752" w:rsidRDefault="004715CC" w:rsidP="001174C0">
            <w:pPr>
              <w:spacing w:after="93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Rok </w:t>
            </w:r>
            <w:r w:rsidR="001174C0" w:rsidRPr="00132752">
              <w:rPr>
                <w:b w:val="0"/>
                <w:sz w:val="24"/>
              </w:rPr>
              <w:t>3</w:t>
            </w:r>
          </w:p>
          <w:p w14:paraId="6AB9AAA6" w14:textId="1C28C3C8" w:rsidR="00DE722C" w:rsidRPr="00132752" w:rsidRDefault="001174C0" w:rsidP="001174C0">
            <w:pPr>
              <w:spacing w:after="93" w:line="276" w:lineRule="auto"/>
              <w:ind w:left="6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V</w:t>
            </w:r>
          </w:p>
        </w:tc>
      </w:tr>
      <w:tr w:rsidR="00DE722C" w:rsidRPr="00132752" w14:paraId="00B637AE" w14:textId="77777777" w:rsidTr="7CB933C0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132752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132752">
              <w:rPr>
                <w:sz w:val="24"/>
              </w:rPr>
              <w:t>Stopień studiów</w:t>
            </w:r>
          </w:p>
          <w:p w14:paraId="4014BAF6" w14:textId="77777777" w:rsidR="00DE722C" w:rsidRPr="00132752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132752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13275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132752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132752" w14:paraId="179079D9" w14:textId="77777777" w:rsidTr="7CB933C0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77777777" w:rsidR="00DE722C" w:rsidRPr="0013275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132752" w14:paraId="215DA417" w14:textId="77777777" w:rsidTr="7CB933C0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132752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132752">
              <w:rPr>
                <w:sz w:val="24"/>
              </w:rPr>
              <w:t>Cele przedmiotu</w:t>
            </w:r>
          </w:p>
        </w:tc>
      </w:tr>
      <w:tr w:rsidR="00DE722C" w:rsidRPr="00132752" w14:paraId="2C4D6E1C" w14:textId="77777777" w:rsidTr="7CB933C0">
        <w:trPr>
          <w:trHeight w:val="1723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915EC" w14:textId="59710BF9" w:rsidR="00F7105C" w:rsidRPr="00132752" w:rsidRDefault="5CBC61DF" w:rsidP="7CB933C0">
            <w:pPr>
              <w:pStyle w:val="Standard"/>
              <w:rPr>
                <w:rFonts w:eastAsia="DINCE-Regular"/>
                <w:color w:val="auto"/>
                <w:sz w:val="24"/>
              </w:rPr>
            </w:pPr>
            <w:r w:rsidRPr="00132752">
              <w:rPr>
                <w:rFonts w:eastAsia="DINCE-Regular"/>
                <w:color w:val="auto"/>
                <w:sz w:val="24"/>
              </w:rPr>
              <w:t>Założeniem i celem zajęć jest</w:t>
            </w:r>
            <w:r w:rsidR="00F7105C" w:rsidRPr="00132752">
              <w:rPr>
                <w:rFonts w:eastAsia="DINCE-Regular"/>
                <w:color w:val="auto"/>
                <w:sz w:val="24"/>
              </w:rPr>
              <w:t xml:space="preserve"> omówienie podstawowych regulacji prawnych dotyczących żeglugi powietrznej, na czele z przepisami międzynarodowymi (wybrane przepisy Konwencji chicagowskiej i załączników doń), europejskimi, a także regulacjami EASA. Sporo uwagi będzie też poświęcone polskim przepisom zawartym w Ustawie Prawo lotnicze oraz zadaniom PAŻP.</w:t>
            </w:r>
          </w:p>
          <w:p w14:paraId="37B16A72" w14:textId="005153D0" w:rsidR="00DE722C" w:rsidRPr="00132752" w:rsidRDefault="00DE722C" w:rsidP="305F6916">
            <w:pPr>
              <w:spacing w:line="276" w:lineRule="auto"/>
              <w:ind w:left="0"/>
              <w:rPr>
                <w:bCs/>
                <w:sz w:val="24"/>
              </w:rPr>
            </w:pPr>
          </w:p>
        </w:tc>
      </w:tr>
      <w:tr w:rsidR="00DE722C" w:rsidRPr="00132752" w14:paraId="0E39115B" w14:textId="77777777" w:rsidTr="7CB933C0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438C216C" w:rsidR="00DE722C" w:rsidRPr="0013275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132752" w14:paraId="395234E3" w14:textId="77777777" w:rsidTr="7CB933C0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13275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132752" w14:paraId="06341E6C" w14:textId="77777777" w:rsidTr="7CB933C0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13275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132752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13275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>Problem-</w:t>
            </w:r>
            <w:proofErr w:type="spellStart"/>
            <w:r w:rsidRPr="00132752">
              <w:rPr>
                <w:b w:val="0"/>
                <w:sz w:val="24"/>
              </w:rPr>
              <w:t>Based</w:t>
            </w:r>
            <w:proofErr w:type="spellEnd"/>
            <w:r w:rsidRPr="00132752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132752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132752">
              <w:rPr>
                <w:b w:val="0"/>
                <w:sz w:val="24"/>
              </w:rPr>
              <w:t>Study</w:t>
            </w:r>
            <w:proofErr w:type="spellEnd"/>
            <w:r w:rsidRPr="00132752">
              <w:rPr>
                <w:b w:val="0"/>
                <w:sz w:val="24"/>
              </w:rPr>
              <w:t xml:space="preserve">) </w:t>
            </w:r>
          </w:p>
        </w:tc>
      </w:tr>
      <w:tr w:rsidR="00DE722C" w:rsidRPr="00132752" w14:paraId="49AA6CB3" w14:textId="77777777" w:rsidTr="7CB933C0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13275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32752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132752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13275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132752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132752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132752">
              <w:rPr>
                <w:b w:val="0"/>
                <w:sz w:val="24"/>
              </w:rPr>
              <w:t>Rzutnik multimedialny</w:t>
            </w:r>
          </w:p>
        </w:tc>
      </w:tr>
      <w:tr w:rsidR="00DE722C" w:rsidRPr="00132752" w14:paraId="199333D9" w14:textId="77777777" w:rsidTr="7CB933C0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132752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132752">
              <w:rPr>
                <w:sz w:val="24"/>
              </w:rPr>
              <w:t>Efekty uczenia się</w:t>
            </w:r>
          </w:p>
        </w:tc>
      </w:tr>
      <w:tr w:rsidR="00DE722C" w:rsidRPr="00132752" w14:paraId="2EADBDF4" w14:textId="77777777" w:rsidTr="7CB933C0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13275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32752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13275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32752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132752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132752">
              <w:rPr>
                <w:sz w:val="24"/>
              </w:rPr>
              <w:t>Metody weryfikacji</w:t>
            </w:r>
          </w:p>
        </w:tc>
      </w:tr>
      <w:tr w:rsidR="00DE722C" w:rsidRPr="00132752" w14:paraId="763092B5" w14:textId="77777777" w:rsidTr="7CB933C0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132752" w:rsidRDefault="00DE722C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0C58" w14:textId="18D4D97D" w:rsidR="00DE722C" w:rsidRPr="00132752" w:rsidRDefault="00681CD4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Student w zaawansowanym stopniu zna terminologię właściwą dla obszaru nauk prawnych, a zwłaszcza prawnych aspektów żeglugi powietrznej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19EF1C9C" w:rsidR="00DE722C" w:rsidRPr="00132752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132752">
              <w:rPr>
                <w:b w:val="0"/>
                <w:sz w:val="24"/>
              </w:rPr>
              <w:t>K_W0</w:t>
            </w:r>
            <w:r w:rsidR="00681CD4" w:rsidRPr="00132752">
              <w:rPr>
                <w:b w:val="0"/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1BF92" w14:textId="77777777" w:rsidR="00DE722C" w:rsidRPr="00132752" w:rsidRDefault="00681CD4" w:rsidP="00681CD4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zaliczenie (praca zaliczeniowa)</w:t>
            </w:r>
          </w:p>
          <w:p w14:paraId="6500B6D0" w14:textId="77777777" w:rsidR="00681CD4" w:rsidRPr="00132752" w:rsidRDefault="00681CD4" w:rsidP="00681CD4">
            <w:pPr>
              <w:spacing w:line="216" w:lineRule="auto"/>
              <w:ind w:left="58"/>
              <w:rPr>
                <w:rFonts w:eastAsia="DINCE-Regular"/>
                <w:color w:val="auto"/>
                <w:sz w:val="24"/>
              </w:rPr>
            </w:pPr>
          </w:p>
          <w:p w14:paraId="6A5E031C" w14:textId="77777777" w:rsidR="00681CD4" w:rsidRPr="00132752" w:rsidRDefault="00681CD4" w:rsidP="00681CD4">
            <w:pPr>
              <w:spacing w:line="216" w:lineRule="auto"/>
              <w:ind w:left="58"/>
              <w:rPr>
                <w:rFonts w:eastAsia="DINCE-Regular"/>
                <w:color w:val="auto"/>
                <w:sz w:val="24"/>
              </w:rPr>
            </w:pPr>
          </w:p>
          <w:p w14:paraId="26571796" w14:textId="3E236297" w:rsidR="00681CD4" w:rsidRPr="00132752" w:rsidRDefault="00681CD4" w:rsidP="00681CD4">
            <w:pPr>
              <w:spacing w:line="216" w:lineRule="auto"/>
              <w:ind w:left="58"/>
              <w:rPr>
                <w:sz w:val="24"/>
              </w:rPr>
            </w:pPr>
          </w:p>
        </w:tc>
      </w:tr>
      <w:tr w:rsidR="00DE722C" w:rsidRPr="00132752" w14:paraId="4BC85053" w14:textId="77777777" w:rsidTr="7CB933C0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132752" w:rsidRDefault="00DE722C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8F560" w14:textId="34BEAE62" w:rsidR="00DE722C" w:rsidRPr="00132752" w:rsidRDefault="00681CD4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Student w zaawansowanym stopniu zna i rozumie wybrane szczegółowe zagadnienia, źródła i instytucje prawa lotniczego krajowego, europejskiego i międzynarodowego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1C0192CC" w:rsidR="00DE722C" w:rsidRPr="00132752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K_W</w:t>
            </w:r>
            <w:r w:rsidR="47ED16FB" w:rsidRPr="00132752">
              <w:rPr>
                <w:b w:val="0"/>
                <w:sz w:val="24"/>
              </w:rPr>
              <w:t>0</w:t>
            </w:r>
            <w:r w:rsidR="00681CD4" w:rsidRPr="00132752">
              <w:rPr>
                <w:b w:val="0"/>
                <w:sz w:val="24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9E5A1" w14:textId="69A5C3B2" w:rsidR="00681CD4" w:rsidRPr="00132752" w:rsidRDefault="00681CD4" w:rsidP="00681CD4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zaliczenie (praca zaliczeniowa)</w:t>
            </w:r>
          </w:p>
          <w:p w14:paraId="41649C2D" w14:textId="00BB5870" w:rsidR="00DE722C" w:rsidRPr="00132752" w:rsidRDefault="00DE722C" w:rsidP="004715CC">
            <w:pPr>
              <w:spacing w:after="167" w:line="276" w:lineRule="auto"/>
              <w:ind w:left="4"/>
              <w:rPr>
                <w:sz w:val="24"/>
              </w:rPr>
            </w:pPr>
          </w:p>
        </w:tc>
      </w:tr>
      <w:tr w:rsidR="00681CD4" w:rsidRPr="00132752" w14:paraId="4F99FCA8" w14:textId="77777777" w:rsidTr="7CB933C0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CD00" w14:textId="77777777" w:rsidR="00681CD4" w:rsidRPr="00132752" w:rsidRDefault="00681CD4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1394A" w14:textId="616A17E4" w:rsidR="00681CD4" w:rsidRPr="00132752" w:rsidRDefault="00681CD4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rFonts w:eastAsia="DINCE-Regular"/>
                <w:b w:val="0"/>
                <w:bCs/>
                <w:color w:val="auto"/>
                <w:sz w:val="24"/>
              </w:rPr>
              <w:t>Student ma zaawansowaną wiedzę szczegółową z zakresu wybranej w toku kształcenia specjalności – administrowanie ruchem lotniczym w obszarze prawnych aspektów żeglugi powietrznej.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F9FE2" w14:textId="49563803" w:rsidR="00681CD4" w:rsidRPr="00132752" w:rsidRDefault="00681CD4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K_W10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C7969" w14:textId="77777777" w:rsidR="00681CD4" w:rsidRPr="00132752" w:rsidRDefault="00681CD4" w:rsidP="00681CD4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zaliczenie (praca zaliczeniowa)</w:t>
            </w:r>
          </w:p>
          <w:p w14:paraId="6F4545F7" w14:textId="77777777" w:rsidR="00681CD4" w:rsidRPr="00132752" w:rsidRDefault="00681CD4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</w:p>
        </w:tc>
      </w:tr>
      <w:tr w:rsidR="00DE722C" w:rsidRPr="00132752" w14:paraId="620B93A9" w14:textId="77777777" w:rsidTr="7CB933C0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132752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132752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13275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32752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132752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132752">
              <w:rPr>
                <w:sz w:val="24"/>
              </w:rPr>
              <w:t>Metody weryfikacji</w:t>
            </w:r>
          </w:p>
        </w:tc>
      </w:tr>
      <w:tr w:rsidR="00DE722C" w:rsidRPr="00132752" w14:paraId="28CB75BA" w14:textId="77777777" w:rsidTr="7CB933C0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13275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49F4" w14:textId="5A799FD7" w:rsidR="00DE722C" w:rsidRPr="00132752" w:rsidRDefault="00681CD4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Student wykorzystując posiadaną wiedzę z zakresu prawnych aspektów żeglugi powietrznej potrafi innowacyjnie wykonywać zadania w nie w pełni przewidywalnych warunkach pracy, stosując właściwe metody i narzędzia, w tym zaawansowane techniki informacyjno-komunikacyjne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2BE0DCF8" w:rsidR="00DE722C" w:rsidRPr="00132752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132752">
              <w:rPr>
                <w:b w:val="0"/>
                <w:sz w:val="24"/>
              </w:rPr>
              <w:t>K_U0</w:t>
            </w:r>
            <w:r w:rsidR="00681CD4" w:rsidRPr="00132752">
              <w:rPr>
                <w:b w:val="0"/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ED538" w14:textId="45DCAFB9" w:rsidR="00681CD4" w:rsidRPr="00132752" w:rsidRDefault="00681CD4" w:rsidP="00681CD4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zaliczenie (praca zaliczeniowa)</w:t>
            </w:r>
          </w:p>
          <w:p w14:paraId="78D1EF04" w14:textId="7BA69EBB" w:rsidR="00DE722C" w:rsidRPr="00132752" w:rsidRDefault="00DE722C" w:rsidP="004715CC">
            <w:pPr>
              <w:spacing w:after="167" w:line="276" w:lineRule="auto"/>
              <w:ind w:left="6"/>
              <w:rPr>
                <w:sz w:val="24"/>
              </w:rPr>
            </w:pPr>
          </w:p>
        </w:tc>
      </w:tr>
      <w:tr w:rsidR="00DE722C" w:rsidRPr="00132752" w14:paraId="0A5C9405" w14:textId="77777777" w:rsidTr="7CB933C0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13275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980" w14:textId="7E96AA92" w:rsidR="00DE722C" w:rsidRPr="00132752" w:rsidRDefault="73FE1230" w:rsidP="305F6916">
            <w:pPr>
              <w:spacing w:line="276" w:lineRule="auto"/>
              <w:ind w:left="4"/>
              <w:rPr>
                <w:sz w:val="24"/>
              </w:rPr>
            </w:pPr>
            <w:r w:rsidRPr="00132752">
              <w:rPr>
                <w:b w:val="0"/>
                <w:sz w:val="24"/>
              </w:rPr>
              <w:t>potrafi komunikować się z otoczeniem na tematy dotyczące polityk i strategii rozwoju lotnictwa cywilnego z użyciem specjalistycznej terminologii oraz uzasadniać swoje stanowisko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4F9D30BD" w:rsidR="00DE722C" w:rsidRPr="00132752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K_U0</w:t>
            </w:r>
            <w:r w:rsidR="07AF544B" w:rsidRPr="00132752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7C070" w14:textId="5B0320DB" w:rsidR="00681CD4" w:rsidRPr="00132752" w:rsidRDefault="00681CD4" w:rsidP="00681CD4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zaliczenie (praca zaliczeniowa)</w:t>
            </w:r>
          </w:p>
          <w:p w14:paraId="10DD06DA" w14:textId="40BE2E4D" w:rsidR="00DE722C" w:rsidRPr="00132752" w:rsidRDefault="00DE722C" w:rsidP="004715CC">
            <w:pPr>
              <w:spacing w:after="167" w:line="276" w:lineRule="auto"/>
              <w:ind w:left="6"/>
              <w:rPr>
                <w:sz w:val="24"/>
              </w:rPr>
            </w:pPr>
          </w:p>
        </w:tc>
      </w:tr>
      <w:tr w:rsidR="00DE722C" w:rsidRPr="00132752" w14:paraId="678ECD47" w14:textId="77777777" w:rsidTr="7CB933C0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132752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132752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13275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32752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132752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132752">
              <w:rPr>
                <w:sz w:val="24"/>
              </w:rPr>
              <w:t>Metody weryfikacji</w:t>
            </w:r>
          </w:p>
        </w:tc>
      </w:tr>
      <w:tr w:rsidR="00DE722C" w:rsidRPr="00132752" w14:paraId="7534A42F" w14:textId="77777777" w:rsidTr="7CB933C0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13275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C3A7E" w14:textId="77777777" w:rsidR="00681CD4" w:rsidRPr="00132752" w:rsidRDefault="00681CD4" w:rsidP="00681CD4">
            <w:pPr>
              <w:spacing w:line="216" w:lineRule="auto"/>
              <w:ind w:left="58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132752">
              <w:rPr>
                <w:rFonts w:eastAsia="DINCE-Regular"/>
                <w:b w:val="0"/>
                <w:bCs/>
                <w:color w:val="auto"/>
                <w:sz w:val="24"/>
              </w:rPr>
              <w:t xml:space="preserve">Student jest gotów do inicjowania różnego rodzaju działań służących interesowi </w:t>
            </w:r>
            <w:r w:rsidRPr="00132752">
              <w:rPr>
                <w:rFonts w:eastAsia="DINCE-Regular"/>
                <w:b w:val="0"/>
                <w:bCs/>
                <w:color w:val="auto"/>
                <w:sz w:val="24"/>
              </w:rPr>
              <w:lastRenderedPageBreak/>
              <w:t>publicznemu, włączając w to inicjatywy związane z żeglugą powietrzną.</w:t>
            </w:r>
          </w:p>
          <w:p w14:paraId="2476142E" w14:textId="0DE9FA3E" w:rsidR="00DE722C" w:rsidRPr="00132752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6EC81C13" w:rsidR="00DE722C" w:rsidRPr="00132752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132752">
              <w:rPr>
                <w:b w:val="0"/>
                <w:sz w:val="24"/>
              </w:rPr>
              <w:lastRenderedPageBreak/>
              <w:t>K_K0</w:t>
            </w:r>
            <w:r w:rsidR="00681CD4" w:rsidRPr="00132752">
              <w:rPr>
                <w:b w:val="0"/>
                <w:sz w:val="24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4E0D1150" w:rsidR="00DE722C" w:rsidRPr="00132752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Dyskusja</w:t>
            </w:r>
            <w:r w:rsidR="00681CD4" w:rsidRPr="00132752">
              <w:rPr>
                <w:b w:val="0"/>
                <w:sz w:val="24"/>
              </w:rPr>
              <w:t xml:space="preserve"> podczas zajęć</w:t>
            </w:r>
          </w:p>
        </w:tc>
      </w:tr>
      <w:tr w:rsidR="00681CD4" w:rsidRPr="00132752" w14:paraId="399BA94D" w14:textId="77777777" w:rsidTr="7CB933C0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24C4D" w14:textId="77777777" w:rsidR="00681CD4" w:rsidRPr="00132752" w:rsidRDefault="00681CD4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38F0" w14:textId="77777777" w:rsidR="00681CD4" w:rsidRPr="00132752" w:rsidRDefault="00681CD4" w:rsidP="00681CD4">
            <w:pPr>
              <w:spacing w:line="216" w:lineRule="auto"/>
              <w:ind w:left="58"/>
              <w:rPr>
                <w:b w:val="0"/>
                <w:bCs/>
                <w:sz w:val="24"/>
              </w:rPr>
            </w:pPr>
            <w:r w:rsidRPr="00132752">
              <w:rPr>
                <w:rFonts w:eastAsia="DINCE-Regular"/>
                <w:b w:val="0"/>
                <w:bCs/>
                <w:color w:val="auto"/>
                <w:sz w:val="24"/>
              </w:rPr>
              <w:t>Student  jest gotów do myślenia i działania w sposób przedsiębiorczy w sektorze żeglugi powietrznej.</w:t>
            </w:r>
          </w:p>
          <w:p w14:paraId="30E6274D" w14:textId="77777777" w:rsidR="00681CD4" w:rsidRPr="00132752" w:rsidRDefault="00681CD4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E7C3C" w14:textId="0D7A2475" w:rsidR="00681CD4" w:rsidRPr="00132752" w:rsidRDefault="00681CD4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K_K08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0B34E" w14:textId="40A01CE4" w:rsidR="00681CD4" w:rsidRPr="00132752" w:rsidRDefault="00681CD4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132752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585"/>
        <w:gridCol w:w="654"/>
        <w:gridCol w:w="2052"/>
        <w:gridCol w:w="2637"/>
        <w:gridCol w:w="2552"/>
        <w:gridCol w:w="1389"/>
        <w:gridCol w:w="266"/>
        <w:gridCol w:w="637"/>
      </w:tblGrid>
      <w:tr w:rsidR="00DE722C" w:rsidRPr="00132752" w14:paraId="4BD5AEB1" w14:textId="77777777" w:rsidTr="7650A323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132752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132752">
              <w:rPr>
                <w:sz w:val="24"/>
              </w:rPr>
              <w:t>Treści kształcenia</w:t>
            </w:r>
          </w:p>
        </w:tc>
      </w:tr>
      <w:tr w:rsidR="00DE722C" w:rsidRPr="00132752" w14:paraId="2A888692" w14:textId="77777777" w:rsidTr="7650A323">
        <w:trPr>
          <w:trHeight w:val="448"/>
        </w:trPr>
        <w:tc>
          <w:tcPr>
            <w:tcW w:w="98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132752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132752">
              <w:rPr>
                <w:sz w:val="24"/>
              </w:rPr>
              <w:t>Tematyka zajęć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13275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132752">
              <w:rPr>
                <w:sz w:val="24"/>
              </w:rPr>
              <w:t>Liczba godzin</w:t>
            </w:r>
          </w:p>
        </w:tc>
      </w:tr>
      <w:tr w:rsidR="00DE722C" w:rsidRPr="00132752" w14:paraId="48EECCC1" w14:textId="77777777" w:rsidTr="7650A323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132752" w:rsidRDefault="004715CC" w:rsidP="7650A323">
            <w:pPr>
              <w:spacing w:line="276" w:lineRule="auto"/>
              <w:ind w:left="0" w:right="38"/>
              <w:rPr>
                <w:sz w:val="24"/>
              </w:rPr>
            </w:pPr>
            <w:r w:rsidRPr="00132752">
              <w:rPr>
                <w:sz w:val="24"/>
              </w:rPr>
              <w:t>Konwersatorium</w:t>
            </w:r>
          </w:p>
        </w:tc>
      </w:tr>
      <w:tr w:rsidR="00DE722C" w:rsidRPr="00132752" w14:paraId="0444B204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DE722C" w:rsidRPr="00132752" w:rsidRDefault="004715CC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1.</w:t>
            </w:r>
          </w:p>
        </w:tc>
        <w:tc>
          <w:tcPr>
            <w:tcW w:w="92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88666" w14:textId="77777777" w:rsidR="00E04D1B" w:rsidRPr="00132752" w:rsidRDefault="00E04D1B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1.1. Podstawowe pojęcia i zasady „żeglugi powietrznej”  i rola służb żeglugi powietrznej.</w:t>
            </w:r>
          </w:p>
          <w:p w14:paraId="7168574B" w14:textId="4D98E3A0" w:rsidR="00DE722C" w:rsidRPr="00132752" w:rsidRDefault="00E04D1B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 xml:space="preserve">1.2. Zastosowanie prawa lotniczego w codziennych operacjach – </w:t>
            </w:r>
            <w:proofErr w:type="spellStart"/>
            <w:r w:rsidRPr="00132752">
              <w:rPr>
                <w:b w:val="0"/>
                <w:sz w:val="24"/>
              </w:rPr>
              <w:t>case</w:t>
            </w:r>
            <w:proofErr w:type="spellEnd"/>
            <w:r w:rsidRPr="00132752">
              <w:rPr>
                <w:b w:val="0"/>
                <w:sz w:val="24"/>
              </w:rPr>
              <w:t xml:space="preserve"> </w:t>
            </w:r>
            <w:proofErr w:type="spellStart"/>
            <w:r w:rsidRPr="00132752">
              <w:rPr>
                <w:b w:val="0"/>
                <w:sz w:val="24"/>
              </w:rPr>
              <w:t>study</w:t>
            </w:r>
            <w:proofErr w:type="spellEnd"/>
            <w:r w:rsidRPr="00132752">
              <w:rPr>
                <w:b w:val="0"/>
                <w:sz w:val="24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2CB0BBFB" w:rsidR="00DE722C" w:rsidRPr="00132752" w:rsidRDefault="42E7371B" w:rsidP="7650A32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12840E69" w:rsidRPr="00132752">
              <w:rPr>
                <w:b w:val="0"/>
                <w:sz w:val="24"/>
              </w:rPr>
              <w:t>,5</w:t>
            </w:r>
          </w:p>
        </w:tc>
      </w:tr>
      <w:tr w:rsidR="00DE722C" w:rsidRPr="00132752" w14:paraId="012EBB07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DE722C" w:rsidRPr="00132752" w:rsidRDefault="004715CC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2.</w:t>
            </w:r>
          </w:p>
        </w:tc>
        <w:tc>
          <w:tcPr>
            <w:tcW w:w="92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4EEB7" w14:textId="55681910" w:rsidR="00733EDB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Ewolucja prawa lotniczego w zakresie żeglugi powietrznej (w tym postanowienia Konwencji chicagowskiej).</w:t>
            </w:r>
          </w:p>
          <w:p w14:paraId="485BF1FC" w14:textId="46BFF2EA" w:rsidR="00DE722C" w:rsidRPr="00132752" w:rsidRDefault="00DE722C" w:rsidP="7650A323">
            <w:pPr>
              <w:spacing w:line="276" w:lineRule="auto"/>
              <w:ind w:left="70"/>
              <w:rPr>
                <w:b w:val="0"/>
                <w:sz w:val="24"/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7CA82D4A" w:rsidR="00DE722C" w:rsidRPr="00132752" w:rsidRDefault="23613457" w:rsidP="7650A32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1BD5983E" w:rsidRPr="00132752">
              <w:rPr>
                <w:b w:val="0"/>
                <w:sz w:val="24"/>
              </w:rPr>
              <w:t>,5</w:t>
            </w:r>
          </w:p>
        </w:tc>
      </w:tr>
      <w:tr w:rsidR="00610769" w:rsidRPr="00132752" w14:paraId="43C1FB1D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610769" w:rsidRPr="00132752" w:rsidRDefault="00610769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3.</w:t>
            </w:r>
          </w:p>
        </w:tc>
        <w:tc>
          <w:tcPr>
            <w:tcW w:w="92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CE72" w14:textId="4894339C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Szczegółowe normy międzynarodowe (</w:t>
            </w:r>
            <w:proofErr w:type="spellStart"/>
            <w:r w:rsidRPr="00132752">
              <w:rPr>
                <w:b w:val="0"/>
                <w:sz w:val="24"/>
              </w:rPr>
              <w:t>Annex</w:t>
            </w:r>
            <w:proofErr w:type="spellEnd"/>
            <w:r w:rsidRPr="00132752">
              <w:rPr>
                <w:b w:val="0"/>
                <w:sz w:val="24"/>
              </w:rPr>
              <w:t xml:space="preserve"> 2 ICAO Zasady Lotu, ICAO DOC 4444 PANS-ATM, ICAO DOC 8168 PANSOPS).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6DBB5151" w:rsidR="00610769" w:rsidRPr="00132752" w:rsidRDefault="69A690AA" w:rsidP="7650A323">
            <w:pPr>
              <w:spacing w:line="276" w:lineRule="auto"/>
              <w:ind w:left="22"/>
              <w:rPr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00610769" w:rsidRPr="00132752">
              <w:rPr>
                <w:b w:val="0"/>
                <w:sz w:val="24"/>
              </w:rPr>
              <w:t>,5</w:t>
            </w:r>
          </w:p>
        </w:tc>
      </w:tr>
      <w:tr w:rsidR="00610769" w:rsidRPr="00132752" w14:paraId="17D26A9B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610769" w:rsidRPr="00132752" w:rsidRDefault="00610769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4.</w:t>
            </w:r>
          </w:p>
        </w:tc>
        <w:tc>
          <w:tcPr>
            <w:tcW w:w="92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98229" w14:textId="3CFA9F18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 xml:space="preserve">Prawo UE: </w:t>
            </w:r>
            <w:proofErr w:type="spellStart"/>
            <w:r w:rsidRPr="00132752">
              <w:rPr>
                <w:b w:val="0"/>
                <w:sz w:val="24"/>
              </w:rPr>
              <w:t>rozp</w:t>
            </w:r>
            <w:proofErr w:type="spellEnd"/>
            <w:r w:rsidRPr="00132752">
              <w:rPr>
                <w:b w:val="0"/>
                <w:sz w:val="24"/>
              </w:rPr>
              <w:t xml:space="preserve">. 2018/1139 (rozporządzenie bazowe), </w:t>
            </w:r>
            <w:proofErr w:type="spellStart"/>
            <w:r w:rsidRPr="00132752">
              <w:rPr>
                <w:b w:val="0"/>
                <w:sz w:val="24"/>
              </w:rPr>
              <w:t>rozp</w:t>
            </w:r>
            <w:proofErr w:type="spellEnd"/>
            <w:r w:rsidRPr="00132752">
              <w:rPr>
                <w:b w:val="0"/>
                <w:sz w:val="24"/>
              </w:rPr>
              <w:t>. 923/2012 wraz ze zmianami (SERA); Agencja UE ds. Bezpieczeństwa Lotniczego (EASA), rozporządzenie 2017/373.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57C74689" w:rsidR="00610769" w:rsidRPr="00132752" w:rsidRDefault="5D361691" w:rsidP="7650A323">
            <w:pPr>
              <w:spacing w:line="276" w:lineRule="auto"/>
              <w:ind w:left="22"/>
              <w:rPr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00610769" w:rsidRPr="00132752">
              <w:rPr>
                <w:b w:val="0"/>
                <w:sz w:val="24"/>
              </w:rPr>
              <w:t>,5</w:t>
            </w:r>
          </w:p>
        </w:tc>
      </w:tr>
      <w:tr w:rsidR="00610769" w:rsidRPr="00132752" w14:paraId="60F80C13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610769" w:rsidRPr="00132752" w:rsidRDefault="00610769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5.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2F0B4BE" w14:textId="1708F555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color w:val="auto"/>
                <w:sz w:val="24"/>
              </w:rPr>
              <w:t>Polskie prawo lotnicze (ustawa Prawo lotnicze z 2002 r. oraz rozporządzenia ministra właściwego do spraw transportu), Ustawa o Polskiej Agencji Żeglugi Powietrznej. Wyzwania w implementacji przepisów prawa lotniczego w Polsce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6D87DD26" w:rsidR="00610769" w:rsidRPr="00132752" w:rsidRDefault="74B765D1" w:rsidP="7650A323">
            <w:pPr>
              <w:spacing w:line="276" w:lineRule="auto"/>
              <w:ind w:left="22"/>
              <w:rPr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00610769" w:rsidRPr="00132752">
              <w:rPr>
                <w:b w:val="0"/>
                <w:sz w:val="24"/>
              </w:rPr>
              <w:t>,5</w:t>
            </w:r>
          </w:p>
        </w:tc>
      </w:tr>
      <w:tr w:rsidR="00610769" w:rsidRPr="00132752" w14:paraId="5CC9AD68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610769" w:rsidRPr="00132752" w:rsidRDefault="00610769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6.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1CA737" w14:textId="4DB87699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color w:val="auto"/>
                <w:sz w:val="24"/>
              </w:rPr>
              <w:t>Relacje/zależności pomiędzy służbami operacyjnymi portu lotniczego a służbami kontroli lotniska ATC-TWR.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15D9085A" w:rsidR="00610769" w:rsidRPr="00132752" w:rsidRDefault="67B15390" w:rsidP="7650A323">
            <w:pPr>
              <w:spacing w:line="276" w:lineRule="auto"/>
              <w:ind w:left="22"/>
              <w:rPr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00610769" w:rsidRPr="00132752">
              <w:rPr>
                <w:b w:val="0"/>
                <w:sz w:val="24"/>
              </w:rPr>
              <w:t>,5</w:t>
            </w:r>
          </w:p>
        </w:tc>
      </w:tr>
      <w:tr w:rsidR="00610769" w:rsidRPr="00132752" w14:paraId="79D3C594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610769" w:rsidRPr="00132752" w:rsidRDefault="00610769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7.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837340" w14:textId="38AAB8AE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Funkcje i kompetencje Europejskiej Organizacji ds. Bezpieczeństwa Żeglugi Powietrznej (</w:t>
            </w:r>
            <w:proofErr w:type="spellStart"/>
            <w:r w:rsidRPr="00132752">
              <w:rPr>
                <w:b w:val="0"/>
                <w:sz w:val="24"/>
              </w:rPr>
              <w:t>Eurocontrol</w:t>
            </w:r>
            <w:proofErr w:type="spellEnd"/>
            <w:r w:rsidRPr="00132752">
              <w:rPr>
                <w:b w:val="0"/>
                <w:sz w:val="24"/>
              </w:rPr>
              <w:t>) oraz Polskiej Agencji Żeglugi Powietrznej (PAŻP). Inne podmioty, w tym EUROCAE – patron techniczny zmian transformacji cyfrowej i zielonej.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58663E9C" w:rsidR="00610769" w:rsidRPr="00132752" w:rsidRDefault="1F427A9C" w:rsidP="7650A323">
            <w:pPr>
              <w:spacing w:line="276" w:lineRule="auto"/>
              <w:ind w:left="22"/>
              <w:rPr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00610769" w:rsidRPr="00132752">
              <w:rPr>
                <w:b w:val="0"/>
                <w:sz w:val="24"/>
              </w:rPr>
              <w:t>,5</w:t>
            </w:r>
          </w:p>
        </w:tc>
      </w:tr>
      <w:tr w:rsidR="00610769" w:rsidRPr="00132752" w14:paraId="74D0A1B0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610769" w:rsidRPr="00132752" w:rsidRDefault="00610769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 8.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9023191" w14:textId="087BB0AC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Omówienie wybranych podmiotów realizujących służby żeglugi powietrznej na świecie.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7BBFE7DF" w:rsidR="00610769" w:rsidRPr="00132752" w:rsidRDefault="7DB95602" w:rsidP="7650A323">
            <w:pPr>
              <w:spacing w:line="276" w:lineRule="auto"/>
              <w:ind w:left="22"/>
              <w:rPr>
                <w:sz w:val="24"/>
              </w:rPr>
            </w:pPr>
            <w:r w:rsidRPr="00132752">
              <w:rPr>
                <w:b w:val="0"/>
                <w:sz w:val="24"/>
              </w:rPr>
              <w:t>1</w:t>
            </w:r>
            <w:r w:rsidR="00610769" w:rsidRPr="00132752">
              <w:rPr>
                <w:b w:val="0"/>
                <w:sz w:val="24"/>
              </w:rPr>
              <w:t>,5</w:t>
            </w:r>
          </w:p>
        </w:tc>
      </w:tr>
      <w:tr w:rsidR="00610769" w:rsidRPr="00132752" w14:paraId="586237CE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24283" w14:textId="18BE9F77" w:rsidR="00610769" w:rsidRPr="00132752" w:rsidRDefault="00610769" w:rsidP="7650A323">
            <w:pPr>
              <w:spacing w:line="276" w:lineRule="auto"/>
              <w:ind w:left="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9.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C357893" w14:textId="77777777" w:rsidR="00610769" w:rsidRPr="00132752" w:rsidRDefault="00610769" w:rsidP="7650A323">
            <w:pPr>
              <w:ind w:left="0"/>
              <w:rPr>
                <w:b w:val="0"/>
                <w:color w:val="auto"/>
                <w:sz w:val="24"/>
              </w:rPr>
            </w:pPr>
            <w:r w:rsidRPr="00132752">
              <w:rPr>
                <w:b w:val="0"/>
                <w:color w:val="auto"/>
                <w:sz w:val="24"/>
              </w:rPr>
              <w:t xml:space="preserve">Single </w:t>
            </w:r>
            <w:proofErr w:type="spellStart"/>
            <w:r w:rsidRPr="00132752">
              <w:rPr>
                <w:b w:val="0"/>
                <w:color w:val="auto"/>
                <w:sz w:val="24"/>
              </w:rPr>
              <w:t>European</w:t>
            </w:r>
            <w:proofErr w:type="spellEnd"/>
            <w:r w:rsidRPr="00132752">
              <w:rPr>
                <w:b w:val="0"/>
                <w:color w:val="auto"/>
                <w:sz w:val="24"/>
              </w:rPr>
              <w:t xml:space="preserve"> </w:t>
            </w:r>
            <w:proofErr w:type="spellStart"/>
            <w:r w:rsidRPr="00132752">
              <w:rPr>
                <w:b w:val="0"/>
                <w:color w:val="auto"/>
                <w:sz w:val="24"/>
              </w:rPr>
              <w:t>Sky</w:t>
            </w:r>
            <w:proofErr w:type="spellEnd"/>
            <w:r w:rsidRPr="00132752">
              <w:rPr>
                <w:b w:val="0"/>
                <w:color w:val="auto"/>
                <w:sz w:val="24"/>
              </w:rPr>
              <w:t xml:space="preserve"> – ze szczególnym uwzględnieniem transformacji zielonej i cyfrowej  Rozporządzenie o interoperacyjności systemów.</w:t>
            </w:r>
          </w:p>
          <w:p w14:paraId="54DE84B7" w14:textId="7A5F5AD1" w:rsidR="00610769" w:rsidRPr="00132752" w:rsidRDefault="00610769" w:rsidP="7650A323">
            <w:pPr>
              <w:spacing w:line="276" w:lineRule="auto"/>
              <w:ind w:left="0"/>
              <w:rPr>
                <w:b w:val="0"/>
                <w:sz w:val="24"/>
              </w:rPr>
            </w:pPr>
            <w:r w:rsidRPr="00132752">
              <w:rPr>
                <w:b w:val="0"/>
                <w:color w:val="auto"/>
                <w:sz w:val="24"/>
              </w:rPr>
              <w:t>Korzyści dla środowiska z  wdrożenia FAM i FRA. Przedstawienie nakładanych na ANSP przepisów dotyczących wdrażania ESG, jak również dostawania się do wymogów w FF55.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63452" w14:textId="748A088E" w:rsidR="00610769" w:rsidRPr="00132752" w:rsidRDefault="32555CE6" w:rsidP="7650A32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2</w:t>
            </w:r>
          </w:p>
        </w:tc>
      </w:tr>
      <w:tr w:rsidR="00610769" w:rsidRPr="00132752" w14:paraId="75AAA2AD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3E2E2" w14:textId="7AE832B3" w:rsidR="00610769" w:rsidRPr="00132752" w:rsidRDefault="00610769" w:rsidP="7650A323">
            <w:pPr>
              <w:spacing w:line="276" w:lineRule="auto"/>
              <w:ind w:left="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10.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443DC82" w14:textId="372C05B4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color w:val="auto"/>
                <w:sz w:val="24"/>
              </w:rPr>
              <w:t xml:space="preserve">SESAR w tym koncepcja FAB i </w:t>
            </w:r>
            <w:proofErr w:type="spellStart"/>
            <w:r w:rsidRPr="00132752">
              <w:rPr>
                <w:b w:val="0"/>
                <w:color w:val="auto"/>
                <w:sz w:val="24"/>
              </w:rPr>
              <w:t>free</w:t>
            </w:r>
            <w:proofErr w:type="spellEnd"/>
            <w:r w:rsidRPr="00132752">
              <w:rPr>
                <w:b w:val="0"/>
                <w:color w:val="auto"/>
                <w:sz w:val="24"/>
              </w:rPr>
              <w:t xml:space="preserve"> </w:t>
            </w:r>
            <w:proofErr w:type="spellStart"/>
            <w:r w:rsidRPr="00132752">
              <w:rPr>
                <w:b w:val="0"/>
                <w:color w:val="auto"/>
                <w:sz w:val="24"/>
              </w:rPr>
              <w:t>route</w:t>
            </w:r>
            <w:proofErr w:type="spellEnd"/>
            <w:r w:rsidRPr="00132752">
              <w:rPr>
                <w:b w:val="0"/>
                <w:color w:val="auto"/>
                <w:sz w:val="24"/>
              </w:rPr>
              <w:t xml:space="preserve"> </w:t>
            </w:r>
            <w:proofErr w:type="spellStart"/>
            <w:r w:rsidRPr="00132752">
              <w:rPr>
                <w:b w:val="0"/>
                <w:color w:val="auto"/>
                <w:sz w:val="24"/>
              </w:rPr>
              <w:t>airspace</w:t>
            </w:r>
            <w:proofErr w:type="spellEnd"/>
            <w:r w:rsidRPr="00132752">
              <w:rPr>
                <w:b w:val="0"/>
                <w:color w:val="auto"/>
                <w:sz w:val="24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F29FD" w14:textId="03DCB05C" w:rsidR="00610769" w:rsidRPr="00132752" w:rsidRDefault="240A0F45" w:rsidP="7650A32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2</w:t>
            </w:r>
          </w:p>
        </w:tc>
      </w:tr>
      <w:tr w:rsidR="00610769" w:rsidRPr="00132752" w14:paraId="552D0D70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F9874" w14:textId="02823C88" w:rsidR="00610769" w:rsidRPr="00132752" w:rsidRDefault="00610769" w:rsidP="7650A323">
            <w:pPr>
              <w:spacing w:line="276" w:lineRule="auto"/>
              <w:ind w:left="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11.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B8538A" w14:textId="2EE394F2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color w:val="auto"/>
                <w:sz w:val="24"/>
              </w:rPr>
              <w:t xml:space="preserve">Koncepcja utworzenia UTM, zalety i wyzwania.  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995C" w14:textId="02253836" w:rsidR="00610769" w:rsidRPr="00132752" w:rsidRDefault="71EAFC10" w:rsidP="7650A32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2</w:t>
            </w:r>
          </w:p>
        </w:tc>
      </w:tr>
      <w:tr w:rsidR="00610769" w:rsidRPr="00132752" w14:paraId="7A370FCC" w14:textId="77777777" w:rsidTr="7650A323">
        <w:trPr>
          <w:trHeight w:val="396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9BF6" w14:textId="6D25ADA0" w:rsidR="00610769" w:rsidRPr="00132752" w:rsidRDefault="00610769" w:rsidP="7650A323">
            <w:pPr>
              <w:spacing w:line="276" w:lineRule="auto"/>
              <w:ind w:left="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12.</w:t>
            </w:r>
          </w:p>
        </w:tc>
        <w:tc>
          <w:tcPr>
            <w:tcW w:w="9284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F700A1A" w14:textId="6BD5D77C" w:rsidR="00610769" w:rsidRPr="00132752" w:rsidRDefault="00610769" w:rsidP="7650A323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Regulacje dot. bezzałogowych statków powietrznych.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06A34" w14:textId="6317B2FB" w:rsidR="00610769" w:rsidRPr="00132752" w:rsidRDefault="6A167061" w:rsidP="7650A32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32752">
              <w:rPr>
                <w:b w:val="0"/>
                <w:sz w:val="24"/>
              </w:rPr>
              <w:t>2</w:t>
            </w:r>
          </w:p>
        </w:tc>
      </w:tr>
      <w:tr w:rsidR="00610769" w:rsidRPr="00132752" w14:paraId="682A3B5D" w14:textId="77777777" w:rsidTr="7650A323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610769" w:rsidRPr="00132752" w:rsidRDefault="00610769" w:rsidP="00610769">
            <w:pPr>
              <w:spacing w:line="276" w:lineRule="auto"/>
              <w:ind w:left="65"/>
              <w:rPr>
                <w:sz w:val="24"/>
              </w:rPr>
            </w:pPr>
            <w:r w:rsidRPr="00132752">
              <w:rPr>
                <w:sz w:val="24"/>
              </w:rPr>
              <w:t>Warunki i formy zaliczenia</w:t>
            </w:r>
          </w:p>
        </w:tc>
      </w:tr>
      <w:tr w:rsidR="00610769" w:rsidRPr="00132752" w14:paraId="35E9EB15" w14:textId="77777777" w:rsidTr="7650A323">
        <w:trPr>
          <w:trHeight w:val="458"/>
        </w:trPr>
        <w:tc>
          <w:tcPr>
            <w:tcW w:w="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610769" w:rsidRPr="00132752" w:rsidRDefault="00610769" w:rsidP="00610769">
            <w:pPr>
              <w:spacing w:line="276" w:lineRule="auto"/>
              <w:ind w:left="68"/>
              <w:rPr>
                <w:sz w:val="24"/>
              </w:rPr>
            </w:pPr>
            <w:r w:rsidRPr="00132752">
              <w:rPr>
                <w:sz w:val="24"/>
              </w:rPr>
              <w:lastRenderedPageBreak/>
              <w:t>Forma zajęć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610769" w:rsidRPr="00132752" w:rsidRDefault="00610769" w:rsidP="00610769">
            <w:pPr>
              <w:spacing w:line="276" w:lineRule="auto"/>
              <w:ind w:left="12"/>
              <w:rPr>
                <w:sz w:val="24"/>
              </w:rPr>
            </w:pPr>
            <w:r w:rsidRPr="00132752">
              <w:rPr>
                <w:sz w:val="24"/>
              </w:rPr>
              <w:t>Metoda weryfikacji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610769" w:rsidRPr="00132752" w:rsidRDefault="00610769" w:rsidP="00610769">
            <w:pPr>
              <w:spacing w:line="276" w:lineRule="auto"/>
              <w:ind w:left="12"/>
              <w:rPr>
                <w:sz w:val="24"/>
              </w:rPr>
            </w:pPr>
            <w:r w:rsidRPr="00132752">
              <w:rPr>
                <w:sz w:val="24"/>
              </w:rPr>
              <w:t>Waga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610769" w:rsidRPr="00132752" w:rsidRDefault="00610769" w:rsidP="00610769">
            <w:pPr>
              <w:spacing w:line="276" w:lineRule="auto"/>
              <w:ind w:left="10"/>
              <w:rPr>
                <w:sz w:val="24"/>
              </w:rPr>
            </w:pPr>
            <w:r w:rsidRPr="00132752">
              <w:rPr>
                <w:sz w:val="24"/>
              </w:rPr>
              <w:t>Procent</w:t>
            </w:r>
          </w:p>
        </w:tc>
      </w:tr>
      <w:tr w:rsidR="00610769" w:rsidRPr="00132752" w14:paraId="746AE24C" w14:textId="77777777" w:rsidTr="7650A323">
        <w:trPr>
          <w:trHeight w:val="460"/>
        </w:trPr>
        <w:tc>
          <w:tcPr>
            <w:tcW w:w="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Konwersatorium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42DB4353" w:rsidR="00610769" w:rsidRPr="00132752" w:rsidRDefault="001A5AA3" w:rsidP="00610769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Praca zaliczeniowa</w:t>
            </w:r>
            <w:r w:rsidRPr="00132752">
              <w:rPr>
                <w:b w:val="0"/>
                <w:bCs/>
                <w:sz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20E10FE7" w:rsidR="00610769" w:rsidRPr="00132752" w:rsidRDefault="001A5AA3" w:rsidP="00610769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100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42448F4B" w:rsidR="00610769" w:rsidRPr="00132752" w:rsidRDefault="001A5AA3" w:rsidP="00610769">
            <w:pPr>
              <w:spacing w:line="276" w:lineRule="auto"/>
              <w:ind w:left="69"/>
              <w:rPr>
                <w:sz w:val="24"/>
              </w:rPr>
            </w:pPr>
            <w:r w:rsidRPr="00132752">
              <w:rPr>
                <w:b w:val="0"/>
                <w:sz w:val="24"/>
              </w:rPr>
              <w:t>10</w:t>
            </w:r>
            <w:r w:rsidR="00610769" w:rsidRPr="00132752">
              <w:rPr>
                <w:b w:val="0"/>
                <w:sz w:val="24"/>
              </w:rPr>
              <w:t>0,00 %</w:t>
            </w:r>
          </w:p>
        </w:tc>
      </w:tr>
      <w:tr w:rsidR="00610769" w:rsidRPr="00132752" w14:paraId="33109E50" w14:textId="77777777" w:rsidTr="7650A323">
        <w:trPr>
          <w:trHeight w:val="542"/>
        </w:trPr>
        <w:tc>
          <w:tcPr>
            <w:tcW w:w="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sz w:val="24"/>
              </w:rPr>
              <w:t>Informacja dodatkowa dotycząca zaliczenia</w:t>
            </w:r>
          </w:p>
        </w:tc>
        <w:tc>
          <w:tcPr>
            <w:tcW w:w="74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610769" w:rsidRPr="00132752" w:rsidRDefault="00610769" w:rsidP="00610769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610769" w:rsidRPr="00132752" w14:paraId="61F8D819" w14:textId="77777777" w:rsidTr="7650A323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610769" w:rsidRPr="00132752" w:rsidRDefault="00610769" w:rsidP="00610769">
            <w:pPr>
              <w:spacing w:line="276" w:lineRule="auto"/>
              <w:ind w:left="66"/>
              <w:rPr>
                <w:sz w:val="24"/>
              </w:rPr>
            </w:pPr>
            <w:r w:rsidRPr="00132752">
              <w:rPr>
                <w:sz w:val="24"/>
              </w:rPr>
              <w:t>Zagadnienia realizowane w ramach pracy własnej studenta</w:t>
            </w:r>
          </w:p>
        </w:tc>
      </w:tr>
      <w:tr w:rsidR="00610769" w:rsidRPr="00132752" w14:paraId="062DEEFA" w14:textId="77777777" w:rsidTr="7650A323">
        <w:trPr>
          <w:trHeight w:val="426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610769" w:rsidRPr="00132752" w:rsidRDefault="00610769" w:rsidP="00610769">
            <w:pPr>
              <w:spacing w:line="276" w:lineRule="auto"/>
              <w:ind w:left="66"/>
              <w:rPr>
                <w:sz w:val="24"/>
              </w:rPr>
            </w:pPr>
            <w:r w:rsidRPr="00132752">
              <w:rPr>
                <w:sz w:val="24"/>
              </w:rPr>
              <w:t>L.p.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610769" w:rsidRPr="00132752" w:rsidRDefault="00610769" w:rsidP="00610769">
            <w:pPr>
              <w:spacing w:line="276" w:lineRule="auto"/>
              <w:ind w:left="67"/>
              <w:rPr>
                <w:sz w:val="24"/>
              </w:rPr>
            </w:pPr>
            <w:r w:rsidRPr="00132752">
              <w:rPr>
                <w:sz w:val="24"/>
              </w:rPr>
              <w:t>Opis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610769" w:rsidRPr="00132752" w:rsidRDefault="00610769" w:rsidP="00610769">
            <w:pPr>
              <w:spacing w:line="276" w:lineRule="auto"/>
              <w:ind w:left="30"/>
              <w:rPr>
                <w:sz w:val="24"/>
              </w:rPr>
            </w:pPr>
            <w:r w:rsidRPr="00132752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610769" w:rsidRPr="00132752" w:rsidRDefault="00610769" w:rsidP="00610769">
            <w:pPr>
              <w:spacing w:line="276" w:lineRule="auto"/>
              <w:ind w:left="69"/>
              <w:rPr>
                <w:sz w:val="24"/>
              </w:rPr>
            </w:pPr>
            <w:r w:rsidRPr="00132752">
              <w:rPr>
                <w:sz w:val="24"/>
              </w:rPr>
              <w:t>ECTS</w:t>
            </w:r>
          </w:p>
        </w:tc>
      </w:tr>
      <w:tr w:rsidR="00610769" w:rsidRPr="00132752" w14:paraId="5F3FE4E9" w14:textId="77777777" w:rsidTr="7650A323">
        <w:trPr>
          <w:trHeight w:val="546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1.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610769" w:rsidRPr="00132752" w14:paraId="21CCD5F0" w14:textId="77777777" w:rsidTr="7650A323">
        <w:trPr>
          <w:trHeight w:val="542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2.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610769" w:rsidRPr="00132752" w14:paraId="0ED00139" w14:textId="77777777" w:rsidTr="7650A323">
        <w:trPr>
          <w:trHeight w:val="543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3.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610769" w:rsidRPr="00132752" w14:paraId="0B211F56" w14:textId="77777777" w:rsidTr="7650A323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610769" w:rsidRPr="00132752" w:rsidRDefault="00610769" w:rsidP="00610769">
            <w:pPr>
              <w:spacing w:line="276" w:lineRule="auto"/>
              <w:ind w:left="67"/>
              <w:rPr>
                <w:sz w:val="24"/>
              </w:rPr>
            </w:pPr>
            <w:r w:rsidRPr="00132752">
              <w:rPr>
                <w:sz w:val="24"/>
              </w:rPr>
              <w:t>Godziny kontaktowe</w:t>
            </w:r>
          </w:p>
        </w:tc>
      </w:tr>
      <w:tr w:rsidR="00610769" w:rsidRPr="00132752" w14:paraId="64FE6EA9" w14:textId="77777777" w:rsidTr="7650A323">
        <w:trPr>
          <w:trHeight w:val="390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610769" w:rsidRPr="00132752" w:rsidRDefault="00610769" w:rsidP="00610769">
            <w:pPr>
              <w:spacing w:line="276" w:lineRule="auto"/>
              <w:ind w:left="66"/>
              <w:rPr>
                <w:sz w:val="24"/>
              </w:rPr>
            </w:pPr>
            <w:r w:rsidRPr="00132752">
              <w:rPr>
                <w:sz w:val="24"/>
              </w:rPr>
              <w:t>L.p.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610769" w:rsidRPr="00132752" w:rsidRDefault="00610769" w:rsidP="00610769">
            <w:pPr>
              <w:spacing w:line="276" w:lineRule="auto"/>
              <w:ind w:left="67"/>
              <w:rPr>
                <w:sz w:val="24"/>
              </w:rPr>
            </w:pPr>
            <w:r w:rsidRPr="00132752">
              <w:rPr>
                <w:sz w:val="24"/>
              </w:rPr>
              <w:t>Opis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610769" w:rsidRPr="00132752" w:rsidRDefault="00610769" w:rsidP="00610769">
            <w:pPr>
              <w:spacing w:line="276" w:lineRule="auto"/>
              <w:ind w:left="30"/>
              <w:rPr>
                <w:sz w:val="24"/>
              </w:rPr>
            </w:pPr>
            <w:r w:rsidRPr="00132752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610769" w:rsidRPr="00132752" w:rsidRDefault="00610769" w:rsidP="00610769">
            <w:pPr>
              <w:spacing w:line="276" w:lineRule="auto"/>
              <w:ind w:left="69"/>
              <w:rPr>
                <w:sz w:val="24"/>
              </w:rPr>
            </w:pPr>
            <w:r w:rsidRPr="00132752">
              <w:rPr>
                <w:sz w:val="24"/>
              </w:rPr>
              <w:t>ECTS</w:t>
            </w:r>
          </w:p>
        </w:tc>
      </w:tr>
      <w:tr w:rsidR="00610769" w:rsidRPr="00132752" w14:paraId="6B4D8849" w14:textId="77777777" w:rsidTr="7650A323">
        <w:trPr>
          <w:trHeight w:val="546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1.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610769" w:rsidRPr="00132752" w14:paraId="33F54C4E" w14:textId="77777777" w:rsidTr="7650A323">
        <w:trPr>
          <w:trHeight w:val="541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2.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udział w konsultacjach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610769" w:rsidRPr="00132752" w:rsidRDefault="00610769" w:rsidP="7650A323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610769" w:rsidRPr="00132752" w14:paraId="0E72F110" w14:textId="77777777" w:rsidTr="7650A323">
        <w:trPr>
          <w:trHeight w:val="400"/>
        </w:trPr>
        <w:tc>
          <w:tcPr>
            <w:tcW w:w="848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610769" w:rsidRPr="00132752" w:rsidRDefault="00610769" w:rsidP="00610769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sz w:val="24"/>
              </w:rPr>
              <w:t>Suma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610769" w:rsidRPr="00132752" w:rsidRDefault="00610769" w:rsidP="00610769">
            <w:pPr>
              <w:spacing w:line="276" w:lineRule="auto"/>
              <w:ind w:left="69"/>
              <w:rPr>
                <w:sz w:val="24"/>
              </w:rPr>
            </w:pPr>
            <w:r w:rsidRPr="00132752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610769" w:rsidRPr="00132752" w:rsidRDefault="00610769" w:rsidP="00610769">
            <w:pPr>
              <w:spacing w:line="276" w:lineRule="auto"/>
              <w:ind w:left="69"/>
              <w:rPr>
                <w:sz w:val="24"/>
              </w:rPr>
            </w:pPr>
            <w:r w:rsidRPr="00132752">
              <w:rPr>
                <w:sz w:val="24"/>
              </w:rPr>
              <w:t>ECTS</w:t>
            </w:r>
          </w:p>
        </w:tc>
      </w:tr>
      <w:tr w:rsidR="00610769" w:rsidRPr="00132752" w14:paraId="785AC7D6" w14:textId="77777777" w:rsidTr="7650A323">
        <w:trPr>
          <w:trHeight w:val="316"/>
        </w:trPr>
        <w:tc>
          <w:tcPr>
            <w:tcW w:w="8480" w:type="dxa"/>
            <w:gridSpan w:val="5"/>
            <w:vMerge/>
          </w:tcPr>
          <w:p w14:paraId="6A96B0ED" w14:textId="77777777" w:rsidR="00610769" w:rsidRPr="00132752" w:rsidRDefault="00610769" w:rsidP="00610769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sz w:val="24"/>
              </w:rPr>
              <w:t>4</w:t>
            </w:r>
          </w:p>
        </w:tc>
      </w:tr>
      <w:tr w:rsidR="00610769" w:rsidRPr="00132752" w14:paraId="5E0EBF60" w14:textId="77777777" w:rsidTr="7650A323">
        <w:trPr>
          <w:trHeight w:val="3044"/>
        </w:trPr>
        <w:tc>
          <w:tcPr>
            <w:tcW w:w="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610769" w:rsidRPr="00132752" w:rsidRDefault="00610769" w:rsidP="00610769">
            <w:pPr>
              <w:spacing w:line="276" w:lineRule="auto"/>
              <w:ind w:left="70"/>
              <w:rPr>
                <w:sz w:val="24"/>
              </w:rPr>
            </w:pPr>
            <w:r w:rsidRPr="00132752">
              <w:rPr>
                <w:sz w:val="24"/>
              </w:rPr>
              <w:t>Literatura podstawowa</w:t>
            </w:r>
          </w:p>
        </w:tc>
        <w:tc>
          <w:tcPr>
            <w:tcW w:w="74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F9FE" w14:textId="1399D065" w:rsidR="00610769" w:rsidRPr="00132752" w:rsidRDefault="00610769" w:rsidP="00610769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</w:p>
          <w:p w14:paraId="735DCE7D" w14:textId="1DF06E5F" w:rsidR="00610769" w:rsidRPr="00132752" w:rsidRDefault="00610769" w:rsidP="00610769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187492B" w14:textId="3E80A637" w:rsidR="00610769" w:rsidRPr="00132752" w:rsidRDefault="00610769" w:rsidP="7650A323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856F4C" w:rsidRPr="00132752" w14:paraId="71268622" w14:textId="77777777" w:rsidTr="7650A323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856F4C" w:rsidRPr="00132752" w:rsidRDefault="00856F4C" w:rsidP="7650A323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sz w:val="24"/>
              </w:rPr>
              <w:t>Literatura uzupełniająca</w:t>
            </w:r>
          </w:p>
        </w:tc>
        <w:tc>
          <w:tcPr>
            <w:tcW w:w="74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70F63" w14:textId="77777777" w:rsidR="00856F4C" w:rsidRPr="00132752" w:rsidRDefault="00856F4C" w:rsidP="7650A323">
            <w:pPr>
              <w:ind w:left="0"/>
              <w:jc w:val="both"/>
              <w:rPr>
                <w:b w:val="0"/>
                <w:color w:val="auto"/>
                <w:sz w:val="24"/>
              </w:rPr>
            </w:pPr>
            <w:proofErr w:type="spellStart"/>
            <w:r w:rsidRPr="00132752">
              <w:rPr>
                <w:rStyle w:val="Domylnaczcionkaakapitu1"/>
                <w:b w:val="0"/>
                <w:color w:val="auto"/>
                <w:sz w:val="24"/>
              </w:rPr>
              <w:t>I.Kraśnicka</w:t>
            </w:r>
            <w:proofErr w:type="spellEnd"/>
            <w:r w:rsidRPr="00132752">
              <w:rPr>
                <w:rStyle w:val="Domylnaczcionkaakapitu1"/>
                <w:b w:val="0"/>
                <w:color w:val="auto"/>
                <w:sz w:val="24"/>
              </w:rPr>
              <w:t xml:space="preserve">, </w:t>
            </w:r>
            <w:r w:rsidRPr="00132752">
              <w:rPr>
                <w:rStyle w:val="Domylnaczcionkaakapitu1"/>
                <w:b w:val="0"/>
                <w:i/>
                <w:iCs/>
                <w:color w:val="auto"/>
                <w:sz w:val="24"/>
              </w:rPr>
              <w:t>Standard Żeglugi Powietrznej w działalności Organizacji Międzynarodowego Lotnictwa Cywilnego</w:t>
            </w:r>
            <w:r w:rsidRPr="00132752">
              <w:rPr>
                <w:rStyle w:val="Domylnaczcionkaakapitu1"/>
                <w:b w:val="0"/>
                <w:color w:val="auto"/>
                <w:sz w:val="24"/>
              </w:rPr>
              <w:t>, C. H. Beck, Warszawa 2019.</w:t>
            </w:r>
          </w:p>
          <w:p w14:paraId="48C637DC" w14:textId="77777777" w:rsidR="00856F4C" w:rsidRPr="00132752" w:rsidRDefault="00856F4C" w:rsidP="7650A323">
            <w:pPr>
              <w:ind w:left="0"/>
              <w:jc w:val="both"/>
              <w:rPr>
                <w:rStyle w:val="Domylnaczcionkaakapitu1"/>
                <w:b w:val="0"/>
                <w:color w:val="auto"/>
                <w:sz w:val="24"/>
              </w:rPr>
            </w:pPr>
            <w:r w:rsidRPr="00132752">
              <w:rPr>
                <w:b w:val="0"/>
                <w:color w:val="auto"/>
                <w:sz w:val="24"/>
              </w:rPr>
              <w:t>Telesfor Marek Markiewicz, Podstawowe zagadnienia zarządzania ruchem lotniczym; 2010, Wydawnictwo Akademii Obrony Narodowej</w:t>
            </w:r>
          </w:p>
          <w:p w14:paraId="1EC470C2" w14:textId="7759C62A" w:rsidR="00856F4C" w:rsidRPr="00132752" w:rsidRDefault="00856F4C" w:rsidP="7650A323">
            <w:pPr>
              <w:spacing w:after="160" w:line="276" w:lineRule="auto"/>
              <w:ind w:left="0"/>
              <w:jc w:val="both"/>
              <w:rPr>
                <w:b w:val="0"/>
                <w:sz w:val="24"/>
              </w:rPr>
            </w:pPr>
            <w:r w:rsidRPr="00132752">
              <w:rPr>
                <w:rStyle w:val="Domylnaczcionkaakapitu1"/>
                <w:b w:val="0"/>
                <w:color w:val="auto"/>
                <w:sz w:val="24"/>
              </w:rPr>
              <w:t>(red. nauk.) Telesfor Marek Markiewicz, Lotnictwo w jednolitej europejskiej przestrzeni powietrznej. Dylematy i wyzwania; 2015, Oficyna Wydawnicza Akademii Obrony Narodowej</w:t>
            </w:r>
          </w:p>
        </w:tc>
      </w:tr>
      <w:tr w:rsidR="00856F4C" w:rsidRPr="00132752" w14:paraId="06F53243" w14:textId="77777777" w:rsidTr="7650A323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856F4C" w:rsidRPr="00132752" w:rsidRDefault="00856F4C" w:rsidP="00856F4C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sz w:val="24"/>
              </w:rPr>
              <w:lastRenderedPageBreak/>
              <w:t>Miejsce realizacji</w:t>
            </w:r>
          </w:p>
        </w:tc>
        <w:tc>
          <w:tcPr>
            <w:tcW w:w="74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856F4C" w:rsidRPr="00132752" w:rsidRDefault="00856F4C" w:rsidP="00856F4C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856F4C" w:rsidRPr="00132752" w:rsidRDefault="00856F4C" w:rsidP="00856F4C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132752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856F4C" w:rsidRPr="00132752" w:rsidRDefault="00856F4C" w:rsidP="00856F4C">
            <w:pPr>
              <w:spacing w:line="276" w:lineRule="auto"/>
              <w:ind w:left="0"/>
              <w:rPr>
                <w:sz w:val="24"/>
              </w:rPr>
            </w:pPr>
            <w:r w:rsidRPr="00132752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132752" w:rsidRDefault="00BF7B89" w:rsidP="004715CC">
      <w:pPr>
        <w:spacing w:line="276" w:lineRule="auto"/>
        <w:rPr>
          <w:sz w:val="24"/>
        </w:rPr>
      </w:pPr>
    </w:p>
    <w:sectPr w:rsidR="00BF7B89" w:rsidRPr="00132752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CE-Regula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1174C0"/>
    <w:rsid w:val="00132752"/>
    <w:rsid w:val="001A5AA3"/>
    <w:rsid w:val="002A3502"/>
    <w:rsid w:val="003049DA"/>
    <w:rsid w:val="003F79A8"/>
    <w:rsid w:val="00461E4C"/>
    <w:rsid w:val="004715CC"/>
    <w:rsid w:val="00610769"/>
    <w:rsid w:val="00681CD4"/>
    <w:rsid w:val="00733EDB"/>
    <w:rsid w:val="00742A4A"/>
    <w:rsid w:val="00856F4C"/>
    <w:rsid w:val="00857036"/>
    <w:rsid w:val="00A06F0B"/>
    <w:rsid w:val="00AC053D"/>
    <w:rsid w:val="00BEB705"/>
    <w:rsid w:val="00BF7B89"/>
    <w:rsid w:val="00C8711D"/>
    <w:rsid w:val="00D8768E"/>
    <w:rsid w:val="00DE722C"/>
    <w:rsid w:val="00E04D1B"/>
    <w:rsid w:val="00E300AD"/>
    <w:rsid w:val="00EC1008"/>
    <w:rsid w:val="00ED26B0"/>
    <w:rsid w:val="00EF61AC"/>
    <w:rsid w:val="00F7105C"/>
    <w:rsid w:val="00FF3028"/>
    <w:rsid w:val="016A53B5"/>
    <w:rsid w:val="02C5219A"/>
    <w:rsid w:val="03266A38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2CA552"/>
    <w:rsid w:val="0BA8A1D3"/>
    <w:rsid w:val="0BBB1DB9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427A9C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613457"/>
    <w:rsid w:val="23708445"/>
    <w:rsid w:val="240A0F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555CE6"/>
    <w:rsid w:val="32D4B324"/>
    <w:rsid w:val="34CDC26A"/>
    <w:rsid w:val="35497E95"/>
    <w:rsid w:val="3587F15E"/>
    <w:rsid w:val="35BEE6D0"/>
    <w:rsid w:val="362B9147"/>
    <w:rsid w:val="3749EDDA"/>
    <w:rsid w:val="388EA605"/>
    <w:rsid w:val="39FB2EE7"/>
    <w:rsid w:val="3A3747F0"/>
    <w:rsid w:val="3AC54266"/>
    <w:rsid w:val="3B2C6B80"/>
    <w:rsid w:val="3D1C0354"/>
    <w:rsid w:val="3D56CBFD"/>
    <w:rsid w:val="3D6802E9"/>
    <w:rsid w:val="3E1CB98E"/>
    <w:rsid w:val="3F1A0C27"/>
    <w:rsid w:val="41376CE9"/>
    <w:rsid w:val="42E7371B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BC61DF"/>
    <w:rsid w:val="5CF50DBC"/>
    <w:rsid w:val="5D361691"/>
    <w:rsid w:val="5E1D6CCC"/>
    <w:rsid w:val="5F46DBBA"/>
    <w:rsid w:val="60E96FAF"/>
    <w:rsid w:val="6193C8FD"/>
    <w:rsid w:val="62C40192"/>
    <w:rsid w:val="630CD339"/>
    <w:rsid w:val="634A83FC"/>
    <w:rsid w:val="63C7B526"/>
    <w:rsid w:val="63DD298B"/>
    <w:rsid w:val="63F91F9C"/>
    <w:rsid w:val="65AF507F"/>
    <w:rsid w:val="65EFB090"/>
    <w:rsid w:val="66665984"/>
    <w:rsid w:val="676EB124"/>
    <w:rsid w:val="6780364E"/>
    <w:rsid w:val="67B15390"/>
    <w:rsid w:val="691816AB"/>
    <w:rsid w:val="694FADE3"/>
    <w:rsid w:val="69A690AA"/>
    <w:rsid w:val="69AAA737"/>
    <w:rsid w:val="69C7E2CB"/>
    <w:rsid w:val="6A167061"/>
    <w:rsid w:val="6A8985A3"/>
    <w:rsid w:val="6AA05FE6"/>
    <w:rsid w:val="6B541A3C"/>
    <w:rsid w:val="6B59FB38"/>
    <w:rsid w:val="6CE12E0A"/>
    <w:rsid w:val="6D906677"/>
    <w:rsid w:val="6E34C0C8"/>
    <w:rsid w:val="6EE570BA"/>
    <w:rsid w:val="6FE3629B"/>
    <w:rsid w:val="700EA226"/>
    <w:rsid w:val="70A59EE5"/>
    <w:rsid w:val="71C58DE0"/>
    <w:rsid w:val="71EAFC10"/>
    <w:rsid w:val="7294295B"/>
    <w:rsid w:val="73FE1230"/>
    <w:rsid w:val="746D9245"/>
    <w:rsid w:val="7489EEE7"/>
    <w:rsid w:val="74B765D1"/>
    <w:rsid w:val="74BCDDB2"/>
    <w:rsid w:val="758F08A1"/>
    <w:rsid w:val="76059339"/>
    <w:rsid w:val="7650A323"/>
    <w:rsid w:val="77803B3D"/>
    <w:rsid w:val="779F6940"/>
    <w:rsid w:val="77D98FC8"/>
    <w:rsid w:val="780D5AB5"/>
    <w:rsid w:val="792C89D7"/>
    <w:rsid w:val="79D1AD01"/>
    <w:rsid w:val="7AB3A76A"/>
    <w:rsid w:val="7AF4DDD3"/>
    <w:rsid w:val="7B5CCE40"/>
    <w:rsid w:val="7BB41C82"/>
    <w:rsid w:val="7C51EF97"/>
    <w:rsid w:val="7C5630DA"/>
    <w:rsid w:val="7CB933C0"/>
    <w:rsid w:val="7DA827A4"/>
    <w:rsid w:val="7DB95602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paragraph" w:customStyle="1" w:styleId="Standard">
    <w:name w:val="Standard"/>
    <w:rsid w:val="00F7105C"/>
    <w:pPr>
      <w:suppressAutoHyphens/>
      <w:autoSpaceDN w:val="0"/>
      <w:spacing w:line="259" w:lineRule="auto"/>
      <w:textAlignment w:val="baseline"/>
    </w:pPr>
    <w:rPr>
      <w:rFonts w:ascii="Calibri" w:eastAsia="Calibri" w:hAnsi="Calibri" w:cs="Calibri"/>
      <w:color w:val="000000"/>
      <w:kern w:val="3"/>
      <w:sz w:val="22"/>
      <w:lang w:bidi="pl-PL"/>
      <w14:ligatures w14:val="none"/>
    </w:rPr>
  </w:style>
  <w:style w:type="character" w:customStyle="1" w:styleId="Domylnaczcionkaakapitu1">
    <w:name w:val="Domyślna czcionka akapitu1"/>
    <w:rsid w:val="0085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1. Aspekty prawne żeglugi powietrznej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26</cp:revision>
  <dcterms:created xsi:type="dcterms:W3CDTF">2025-06-16T09:08:00Z</dcterms:created>
  <dcterms:modified xsi:type="dcterms:W3CDTF">2025-07-18T07:10:00Z</dcterms:modified>
  <cp:category>Produkt Projektu o numerze FERS.01.05-IP.08-0263/23</cp:category>
</cp:coreProperties>
</file>